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jc w:val="center"/>
        <w:outlineLvl w:val="9"/>
        <w:rPr>
          <w:rFonts w:hint="eastAsia"/>
          <w:sz w:val="52"/>
          <w:szCs w:val="52"/>
          <w:lang w:eastAsia="zh-CN"/>
        </w:rPr>
      </w:pPr>
    </w:p>
    <w:p>
      <w:pPr>
        <w:pStyle w:val="17"/>
        <w:bidi w:val="0"/>
        <w:rPr>
          <w:rFonts w:hint="eastAsia"/>
          <w:lang w:eastAsia="zh-CN"/>
        </w:rPr>
      </w:pPr>
    </w:p>
    <w:p>
      <w:pPr>
        <w:bidi w:val="0"/>
        <w:ind w:left="0" w:leftChars="0" w:firstLine="0" w:firstLineChars="0"/>
        <w:jc w:val="center"/>
        <w:outlineLvl w:val="9"/>
        <w:rPr>
          <w:rFonts w:hint="eastAsia" w:ascii="方正小标宋简体" w:hAnsi="方正小标宋简体" w:eastAsia="方正小标宋简体" w:cs="方正小标宋简体"/>
          <w:b/>
          <w:bCs/>
          <w:sz w:val="52"/>
          <w:szCs w:val="52"/>
          <w:lang w:eastAsia="zh-CN"/>
        </w:rPr>
      </w:pPr>
      <w:r>
        <w:rPr>
          <w:rFonts w:hint="eastAsia" w:ascii="方正小标宋简体" w:hAnsi="方正小标宋简体" w:eastAsia="方正小标宋简体" w:cs="方正小标宋简体"/>
          <w:b/>
          <w:bCs/>
          <w:sz w:val="52"/>
          <w:szCs w:val="52"/>
          <w:lang w:eastAsia="zh-CN"/>
        </w:rPr>
        <w:t>广东省数据中心行业“十四五”</w:t>
      </w:r>
    </w:p>
    <w:p>
      <w:pPr>
        <w:bidi w:val="0"/>
        <w:ind w:left="0" w:leftChars="0" w:firstLine="0" w:firstLineChars="0"/>
        <w:jc w:val="center"/>
        <w:outlineLvl w:val="9"/>
        <w:rPr>
          <w:rFonts w:hint="eastAsia" w:ascii="方正小标宋简体" w:hAnsi="方正小标宋简体" w:eastAsia="方正小标宋简体" w:cs="方正小标宋简体"/>
          <w:b/>
          <w:bCs/>
          <w:sz w:val="52"/>
          <w:szCs w:val="52"/>
          <w:lang w:eastAsia="zh-CN"/>
        </w:rPr>
      </w:pPr>
      <w:r>
        <w:rPr>
          <w:rFonts w:hint="eastAsia" w:ascii="方正小标宋简体" w:hAnsi="方正小标宋简体" w:eastAsia="方正小标宋简体" w:cs="方正小标宋简体"/>
          <w:b/>
          <w:bCs/>
          <w:sz w:val="52"/>
          <w:szCs w:val="52"/>
          <w:lang w:eastAsia="zh-CN"/>
        </w:rPr>
        <w:t>能效对标指南</w:t>
      </w:r>
    </w:p>
    <w:p>
      <w:pPr>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ind w:left="0" w:leftChars="0" w:firstLine="0" w:firstLineChars="0"/>
        <w:jc w:val="center"/>
        <w:rPr>
          <w:rFonts w:hint="eastAsia"/>
          <w:lang w:eastAsia="zh-CN"/>
        </w:rPr>
      </w:pPr>
    </w:p>
    <w:p>
      <w:pPr>
        <w:pStyle w:val="2"/>
        <w:ind w:left="0" w:leftChars="0" w:firstLine="0" w:firstLineChars="0"/>
        <w:jc w:val="center"/>
        <w:rPr>
          <w:rFonts w:hint="eastAsia"/>
          <w:b/>
          <w:bCs/>
          <w:sz w:val="32"/>
          <w:szCs w:val="28"/>
          <w:lang w:eastAsia="zh-CN"/>
        </w:rPr>
      </w:pPr>
      <w:r>
        <w:rPr>
          <w:rFonts w:hint="eastAsia"/>
          <w:b/>
          <w:bCs/>
          <w:sz w:val="32"/>
          <w:szCs w:val="28"/>
          <w:lang w:eastAsia="zh-CN"/>
        </w:rPr>
        <w:t>广东省循环经济和资源综合利用协会</w:t>
      </w:r>
    </w:p>
    <w:p>
      <w:pPr>
        <w:pStyle w:val="2"/>
        <w:ind w:left="0" w:leftChars="0" w:firstLine="0" w:firstLineChars="0"/>
        <w:jc w:val="center"/>
        <w:rPr>
          <w:rFonts w:hint="eastAsia"/>
          <w:b/>
          <w:bCs/>
          <w:sz w:val="32"/>
          <w:szCs w:val="28"/>
          <w:lang w:val="en-US" w:eastAsia="zh-CN"/>
        </w:rPr>
      </w:pPr>
      <w:r>
        <w:rPr>
          <w:rFonts w:hint="eastAsia"/>
          <w:b/>
          <w:bCs/>
          <w:sz w:val="32"/>
          <w:szCs w:val="28"/>
          <w:lang w:val="en-US" w:eastAsia="zh-CN"/>
        </w:rPr>
        <w:t>2021年10月</w:t>
      </w:r>
    </w:p>
    <w:p>
      <w:pPr>
        <w:pStyle w:val="3"/>
        <w:bidi w:val="0"/>
        <w:jc w:val="center"/>
        <w:rPr>
          <w:rFonts w:hint="eastAsia"/>
          <w:lang w:val="en-US" w:eastAsia="zh-CN"/>
        </w:rPr>
        <w:sectPr>
          <w:pgSz w:w="11906" w:h="16838"/>
          <w:pgMar w:top="1440" w:right="1800" w:bottom="1440" w:left="1800" w:header="851" w:footer="992" w:gutter="0"/>
          <w:pgNumType w:fmt="upperRoman" w:start="1"/>
          <w:cols w:space="425" w:num="1"/>
          <w:docGrid w:type="lines" w:linePitch="312" w:charSpace="0"/>
        </w:sectPr>
      </w:pPr>
      <w:bookmarkStart w:id="0" w:name="_Toc10978"/>
      <w:bookmarkStart w:id="1" w:name="_Toc27723"/>
      <w:bookmarkStart w:id="2" w:name="_Toc4466"/>
      <w:bookmarkStart w:id="3" w:name="_Toc25565"/>
    </w:p>
    <w:p>
      <w:pPr>
        <w:pStyle w:val="3"/>
        <w:bidi w:val="0"/>
        <w:jc w:val="center"/>
        <w:rPr>
          <w:rFonts w:hint="eastAsia"/>
          <w:lang w:val="en-US" w:eastAsia="zh-CN"/>
        </w:rPr>
      </w:pPr>
      <w:r>
        <w:rPr>
          <w:rFonts w:hint="eastAsia"/>
          <w:lang w:val="en-US" w:eastAsia="zh-CN"/>
        </w:rPr>
        <w:t>目 录</w:t>
      </w:r>
      <w:bookmarkEnd w:id="0"/>
      <w:bookmarkEnd w:id="1"/>
      <w:bookmarkEnd w:id="2"/>
      <w:bookmarkEnd w:id="3"/>
    </w:p>
    <w:p>
      <w:pPr>
        <w:pStyle w:val="9"/>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_Toc24925 </w:instrText>
      </w:r>
      <w:r>
        <w:rPr>
          <w:rFonts w:hint="eastAsia"/>
          <w:lang w:val="en-US" w:eastAsia="zh-CN"/>
        </w:rPr>
        <w:fldChar w:fldCharType="separate"/>
      </w:r>
      <w:r>
        <w:rPr>
          <w:rFonts w:hint="eastAsia"/>
          <w:lang w:val="en-US" w:eastAsia="zh-CN"/>
        </w:rPr>
        <w:t>前 言</w:t>
      </w:r>
      <w:r>
        <w:tab/>
      </w:r>
      <w:r>
        <w:fldChar w:fldCharType="begin"/>
      </w:r>
      <w:r>
        <w:instrText xml:space="preserve"> PAGEREF _Toc24925 </w:instrText>
      </w:r>
      <w:r>
        <w:fldChar w:fldCharType="separate"/>
      </w:r>
      <w:r>
        <w:t>- 1 -</w:t>
      </w:r>
      <w:r>
        <w:fldChar w:fldCharType="end"/>
      </w:r>
      <w:r>
        <w:rPr>
          <w:rFonts w:hint="eastAsia"/>
          <w:lang w:val="en-US" w:eastAsia="zh-CN"/>
        </w:rPr>
        <w:fldChar w:fldCharType="end"/>
      </w:r>
    </w:p>
    <w:p>
      <w:pPr>
        <w:pStyle w:val="9"/>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_Toc9671 </w:instrText>
      </w:r>
      <w:r>
        <w:rPr>
          <w:rFonts w:hint="eastAsia"/>
          <w:lang w:val="en-US" w:eastAsia="zh-CN"/>
        </w:rPr>
        <w:fldChar w:fldCharType="separate"/>
      </w:r>
      <w:r>
        <w:rPr>
          <w:rFonts w:hint="eastAsia"/>
          <w:lang w:val="en-US" w:eastAsia="zh-CN"/>
        </w:rPr>
        <w:t>一、能效对标概述</w:t>
      </w:r>
      <w:r>
        <w:tab/>
      </w:r>
      <w:r>
        <w:fldChar w:fldCharType="begin"/>
      </w:r>
      <w:r>
        <w:instrText xml:space="preserve"> PAGEREF _Toc9671 </w:instrText>
      </w:r>
      <w:r>
        <w:fldChar w:fldCharType="separate"/>
      </w:r>
      <w:r>
        <w:t>- 2 -</w:t>
      </w:r>
      <w:r>
        <w:fldChar w:fldCharType="end"/>
      </w:r>
      <w:r>
        <w:rPr>
          <w:rFonts w:hint="eastAsia"/>
          <w:lang w:val="en-US" w:eastAsia="zh-CN"/>
        </w:rPr>
        <w:fldChar w:fldCharType="end"/>
      </w:r>
    </w:p>
    <w:p>
      <w:pPr>
        <w:pStyle w:val="9"/>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_Toc18346 </w:instrText>
      </w:r>
      <w:r>
        <w:rPr>
          <w:rFonts w:hint="eastAsia"/>
          <w:lang w:val="en-US" w:eastAsia="zh-CN"/>
        </w:rPr>
        <w:fldChar w:fldCharType="separate"/>
      </w:r>
      <w:r>
        <w:rPr>
          <w:rFonts w:hint="eastAsia"/>
          <w:lang w:val="en-US" w:eastAsia="zh-CN"/>
        </w:rPr>
        <w:t>二、数据中心行业开展能效对标的意义</w:t>
      </w:r>
      <w:r>
        <w:tab/>
      </w:r>
      <w:r>
        <w:fldChar w:fldCharType="begin"/>
      </w:r>
      <w:r>
        <w:instrText xml:space="preserve"> PAGEREF _Toc18346 </w:instrText>
      </w:r>
      <w:r>
        <w:fldChar w:fldCharType="separate"/>
      </w:r>
      <w:r>
        <w:t>- 4 -</w:t>
      </w:r>
      <w:r>
        <w:fldChar w:fldCharType="end"/>
      </w:r>
      <w:r>
        <w:rPr>
          <w:rFonts w:hint="eastAsia"/>
          <w:lang w:val="en-US" w:eastAsia="zh-CN"/>
        </w:rPr>
        <w:fldChar w:fldCharType="end"/>
      </w:r>
    </w:p>
    <w:p>
      <w:pPr>
        <w:pStyle w:val="9"/>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_Toc24715 </w:instrText>
      </w:r>
      <w:r>
        <w:rPr>
          <w:rFonts w:hint="eastAsia"/>
          <w:lang w:val="en-US" w:eastAsia="zh-CN"/>
        </w:rPr>
        <w:fldChar w:fldCharType="separate"/>
      </w:r>
      <w:r>
        <w:rPr>
          <w:rFonts w:hint="eastAsia"/>
          <w:lang w:val="en-US" w:eastAsia="zh-CN"/>
        </w:rPr>
        <w:t>三、数据中心能效对标指标体系</w:t>
      </w:r>
      <w:r>
        <w:tab/>
      </w:r>
      <w:r>
        <w:fldChar w:fldCharType="begin"/>
      </w:r>
      <w:r>
        <w:instrText xml:space="preserve"> PAGEREF _Toc24715 </w:instrText>
      </w:r>
      <w:r>
        <w:fldChar w:fldCharType="separate"/>
      </w:r>
      <w:r>
        <w:t>- 7 -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_Toc30331 </w:instrText>
      </w:r>
      <w:r>
        <w:rPr>
          <w:rFonts w:hint="eastAsia"/>
          <w:lang w:val="en-US" w:eastAsia="zh-CN"/>
        </w:rPr>
        <w:fldChar w:fldCharType="separate"/>
      </w:r>
      <w:r>
        <w:rPr>
          <w:rFonts w:hint="eastAsia"/>
          <w:lang w:val="en-US" w:eastAsia="zh-CN"/>
        </w:rPr>
        <w:t>3.1数据中心能耗构成</w:t>
      </w:r>
      <w:r>
        <w:tab/>
      </w:r>
      <w:r>
        <w:fldChar w:fldCharType="begin"/>
      </w:r>
      <w:r>
        <w:instrText xml:space="preserve"> PAGEREF _Toc30331 </w:instrText>
      </w:r>
      <w:r>
        <w:fldChar w:fldCharType="separate"/>
      </w:r>
      <w:r>
        <w:t>- 7 -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_Toc15968 </w:instrText>
      </w:r>
      <w:r>
        <w:rPr>
          <w:rFonts w:hint="eastAsia"/>
          <w:lang w:val="en-US" w:eastAsia="zh-CN"/>
        </w:rPr>
        <w:fldChar w:fldCharType="separate"/>
      </w:r>
      <w:r>
        <w:rPr>
          <w:rFonts w:hint="eastAsia"/>
          <w:lang w:val="en-US" w:eastAsia="zh-CN"/>
        </w:rPr>
        <w:t>3.2数据中心能耗指标选择</w:t>
      </w:r>
      <w:r>
        <w:tab/>
      </w:r>
      <w:r>
        <w:fldChar w:fldCharType="begin"/>
      </w:r>
      <w:r>
        <w:instrText xml:space="preserve"> PAGEREF _Toc15968 </w:instrText>
      </w:r>
      <w:r>
        <w:fldChar w:fldCharType="separate"/>
      </w:r>
      <w:r>
        <w:t>- 8 -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_Toc1862 </w:instrText>
      </w:r>
      <w:r>
        <w:rPr>
          <w:rFonts w:hint="eastAsia"/>
          <w:lang w:val="en-US" w:eastAsia="zh-CN"/>
        </w:rPr>
        <w:fldChar w:fldCharType="separate"/>
      </w:r>
      <w:r>
        <w:rPr>
          <w:rFonts w:hint="eastAsia"/>
          <w:lang w:val="en-US" w:eastAsia="zh-CN"/>
        </w:rPr>
        <w:t>3.3数据中心能耗指标定义与计算</w:t>
      </w:r>
      <w:r>
        <w:tab/>
      </w:r>
      <w:r>
        <w:fldChar w:fldCharType="begin"/>
      </w:r>
      <w:r>
        <w:instrText xml:space="preserve"> PAGEREF _Toc1862 </w:instrText>
      </w:r>
      <w:r>
        <w:fldChar w:fldCharType="separate"/>
      </w:r>
      <w:r>
        <w:t>- 9 -</w:t>
      </w:r>
      <w:r>
        <w:fldChar w:fldCharType="end"/>
      </w:r>
      <w:r>
        <w:rPr>
          <w:rFonts w:hint="eastAsia"/>
          <w:lang w:val="en-US" w:eastAsia="zh-CN"/>
        </w:rPr>
        <w:fldChar w:fldCharType="end"/>
      </w:r>
    </w:p>
    <w:p>
      <w:pPr>
        <w:pStyle w:val="9"/>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_Toc20932 </w:instrText>
      </w:r>
      <w:r>
        <w:rPr>
          <w:rFonts w:hint="eastAsia"/>
          <w:lang w:val="en-US" w:eastAsia="zh-CN"/>
        </w:rPr>
        <w:fldChar w:fldCharType="separate"/>
      </w:r>
      <w:r>
        <w:rPr>
          <w:rFonts w:hint="eastAsia"/>
          <w:lang w:val="en-US" w:eastAsia="zh-CN"/>
        </w:rPr>
        <w:t>四、能效对标工作的要求</w:t>
      </w:r>
      <w:r>
        <w:tab/>
      </w:r>
      <w:r>
        <w:fldChar w:fldCharType="begin"/>
      </w:r>
      <w:r>
        <w:instrText xml:space="preserve"> PAGEREF _Toc20932 </w:instrText>
      </w:r>
      <w:r>
        <w:fldChar w:fldCharType="separate"/>
      </w:r>
      <w:r>
        <w:t>- 17 -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_Toc11753 </w:instrText>
      </w:r>
      <w:r>
        <w:rPr>
          <w:rFonts w:hint="eastAsia"/>
          <w:lang w:val="en-US" w:eastAsia="zh-CN"/>
        </w:rPr>
        <w:fldChar w:fldCharType="separate"/>
      </w:r>
      <w:r>
        <w:rPr>
          <w:rFonts w:hint="eastAsia"/>
          <w:lang w:val="en-US" w:eastAsia="zh-CN"/>
        </w:rPr>
        <w:t>4.1建立能效对标管理机构</w:t>
      </w:r>
      <w:r>
        <w:tab/>
      </w:r>
      <w:r>
        <w:fldChar w:fldCharType="begin"/>
      </w:r>
      <w:r>
        <w:instrText xml:space="preserve"> PAGEREF _Toc11753 </w:instrText>
      </w:r>
      <w:r>
        <w:fldChar w:fldCharType="separate"/>
      </w:r>
      <w:r>
        <w:t>- 17 -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_Toc9490 </w:instrText>
      </w:r>
      <w:r>
        <w:rPr>
          <w:rFonts w:hint="eastAsia"/>
          <w:lang w:val="en-US" w:eastAsia="zh-CN"/>
        </w:rPr>
        <w:fldChar w:fldCharType="separate"/>
      </w:r>
      <w:r>
        <w:rPr>
          <w:rFonts w:hint="eastAsia"/>
          <w:lang w:val="en-US" w:eastAsia="zh-CN"/>
        </w:rPr>
        <w:t>4.2建立能效对标管理制度</w:t>
      </w:r>
      <w:r>
        <w:tab/>
      </w:r>
      <w:r>
        <w:fldChar w:fldCharType="begin"/>
      </w:r>
      <w:r>
        <w:instrText xml:space="preserve"> PAGEREF _Toc9490 </w:instrText>
      </w:r>
      <w:r>
        <w:fldChar w:fldCharType="separate"/>
      </w:r>
      <w:r>
        <w:t>- 17 -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_Toc8570 </w:instrText>
      </w:r>
      <w:r>
        <w:rPr>
          <w:rFonts w:hint="eastAsia"/>
          <w:lang w:val="en-US" w:eastAsia="zh-CN"/>
        </w:rPr>
        <w:fldChar w:fldCharType="separate"/>
      </w:r>
      <w:r>
        <w:rPr>
          <w:rFonts w:hint="eastAsia"/>
          <w:lang w:val="en-US" w:eastAsia="zh-CN"/>
        </w:rPr>
        <w:t>4.3建立能效指标数据库和最佳实践数据库</w:t>
      </w:r>
      <w:r>
        <w:tab/>
      </w:r>
      <w:r>
        <w:fldChar w:fldCharType="begin"/>
      </w:r>
      <w:r>
        <w:instrText xml:space="preserve"> PAGEREF _Toc8570 </w:instrText>
      </w:r>
      <w:r>
        <w:fldChar w:fldCharType="separate"/>
      </w:r>
      <w:r>
        <w:t>- 18 -</w:t>
      </w:r>
      <w:r>
        <w:fldChar w:fldCharType="end"/>
      </w:r>
      <w:r>
        <w:rPr>
          <w:rFonts w:hint="eastAsia"/>
          <w:lang w:val="en-US" w:eastAsia="zh-CN"/>
        </w:rPr>
        <w:fldChar w:fldCharType="end"/>
      </w:r>
    </w:p>
    <w:p>
      <w:pPr>
        <w:pStyle w:val="9"/>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_Toc14471 </w:instrText>
      </w:r>
      <w:r>
        <w:rPr>
          <w:rFonts w:hint="eastAsia"/>
          <w:lang w:val="en-US" w:eastAsia="zh-CN"/>
        </w:rPr>
        <w:fldChar w:fldCharType="separate"/>
      </w:r>
      <w:r>
        <w:rPr>
          <w:rFonts w:hint="eastAsia"/>
          <w:lang w:val="en-US" w:eastAsia="zh-CN"/>
        </w:rPr>
        <w:t>五、数据中心能效对标实施步骤</w:t>
      </w:r>
      <w:r>
        <w:tab/>
      </w:r>
      <w:r>
        <w:fldChar w:fldCharType="begin"/>
      </w:r>
      <w:r>
        <w:instrText xml:space="preserve"> PAGEREF _Toc14471 </w:instrText>
      </w:r>
      <w:r>
        <w:fldChar w:fldCharType="separate"/>
      </w:r>
      <w:r>
        <w:t>- 19 -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_Toc30913 </w:instrText>
      </w:r>
      <w:r>
        <w:rPr>
          <w:rFonts w:hint="eastAsia"/>
          <w:lang w:val="en-US" w:eastAsia="zh-CN"/>
        </w:rPr>
        <w:fldChar w:fldCharType="separate"/>
      </w:r>
      <w:r>
        <w:rPr>
          <w:rFonts w:hint="eastAsia"/>
          <w:lang w:val="en-US" w:eastAsia="zh-CN"/>
        </w:rPr>
        <w:t>5.1现状分析</w:t>
      </w:r>
      <w:r>
        <w:tab/>
      </w:r>
      <w:r>
        <w:fldChar w:fldCharType="begin"/>
      </w:r>
      <w:r>
        <w:instrText xml:space="preserve"> PAGEREF _Toc30913 </w:instrText>
      </w:r>
      <w:r>
        <w:fldChar w:fldCharType="separate"/>
      </w:r>
      <w:r>
        <w:t>- 19 -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_Toc26975 </w:instrText>
      </w:r>
      <w:r>
        <w:rPr>
          <w:rFonts w:hint="eastAsia"/>
          <w:lang w:val="en-US" w:eastAsia="zh-CN"/>
        </w:rPr>
        <w:fldChar w:fldCharType="separate"/>
      </w:r>
      <w:r>
        <w:rPr>
          <w:rFonts w:hint="eastAsia"/>
          <w:lang w:val="en-US" w:eastAsia="zh-CN"/>
        </w:rPr>
        <w:t>5.2选择对标类型及标杆</w:t>
      </w:r>
      <w:r>
        <w:tab/>
      </w:r>
      <w:r>
        <w:fldChar w:fldCharType="begin"/>
      </w:r>
      <w:r>
        <w:instrText xml:space="preserve"> PAGEREF _Toc26975 </w:instrText>
      </w:r>
      <w:r>
        <w:fldChar w:fldCharType="separate"/>
      </w:r>
      <w:r>
        <w:t>- 19 -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_Toc32595 </w:instrText>
      </w:r>
      <w:r>
        <w:rPr>
          <w:rFonts w:hint="eastAsia"/>
          <w:lang w:val="en-US" w:eastAsia="zh-CN"/>
        </w:rPr>
        <w:fldChar w:fldCharType="separate"/>
      </w:r>
      <w:r>
        <w:rPr>
          <w:rFonts w:hint="eastAsia"/>
          <w:lang w:val="en-US" w:eastAsia="zh-CN"/>
        </w:rPr>
        <w:t>5.3制定实施方案</w:t>
      </w:r>
      <w:r>
        <w:tab/>
      </w:r>
      <w:r>
        <w:fldChar w:fldCharType="begin"/>
      </w:r>
      <w:r>
        <w:instrText xml:space="preserve"> PAGEREF _Toc32595 </w:instrText>
      </w:r>
      <w:r>
        <w:fldChar w:fldCharType="separate"/>
      </w:r>
      <w:r>
        <w:t>- 20 -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_Toc21245 </w:instrText>
      </w:r>
      <w:r>
        <w:rPr>
          <w:rFonts w:hint="eastAsia"/>
          <w:lang w:val="en-US" w:eastAsia="zh-CN"/>
        </w:rPr>
        <w:fldChar w:fldCharType="separate"/>
      </w:r>
      <w:r>
        <w:rPr>
          <w:rFonts w:hint="eastAsia"/>
          <w:lang w:val="en-US" w:eastAsia="zh-CN"/>
        </w:rPr>
        <w:t>5.4对标评价</w:t>
      </w:r>
      <w:r>
        <w:tab/>
      </w:r>
      <w:r>
        <w:fldChar w:fldCharType="begin"/>
      </w:r>
      <w:r>
        <w:instrText xml:space="preserve"> PAGEREF _Toc21245 </w:instrText>
      </w:r>
      <w:r>
        <w:fldChar w:fldCharType="separate"/>
      </w:r>
      <w:r>
        <w:t>- 21 -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_Toc28834 </w:instrText>
      </w:r>
      <w:r>
        <w:rPr>
          <w:rFonts w:hint="eastAsia"/>
          <w:lang w:val="en-US" w:eastAsia="zh-CN"/>
        </w:rPr>
        <w:fldChar w:fldCharType="separate"/>
      </w:r>
      <w:r>
        <w:rPr>
          <w:rFonts w:hint="eastAsia"/>
          <w:lang w:val="en-US" w:eastAsia="zh-CN"/>
        </w:rPr>
        <w:t>5.5持续改进</w:t>
      </w:r>
      <w:r>
        <w:tab/>
      </w:r>
      <w:r>
        <w:fldChar w:fldCharType="begin"/>
      </w:r>
      <w:r>
        <w:instrText xml:space="preserve"> PAGEREF _Toc28834 </w:instrText>
      </w:r>
      <w:r>
        <w:fldChar w:fldCharType="separate"/>
      </w:r>
      <w:r>
        <w:t>- 21 -</w:t>
      </w:r>
      <w:r>
        <w:fldChar w:fldCharType="end"/>
      </w:r>
      <w:r>
        <w:rPr>
          <w:rFonts w:hint="eastAsia"/>
          <w:lang w:val="en-US" w:eastAsia="zh-CN"/>
        </w:rPr>
        <w:fldChar w:fldCharType="end"/>
      </w:r>
    </w:p>
    <w:p>
      <w:pPr>
        <w:pStyle w:val="9"/>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_Toc571 </w:instrText>
      </w:r>
      <w:r>
        <w:rPr>
          <w:rFonts w:hint="eastAsia"/>
          <w:lang w:val="en-US" w:eastAsia="zh-CN"/>
        </w:rPr>
        <w:fldChar w:fldCharType="separate"/>
      </w:r>
      <w:r>
        <w:rPr>
          <w:rFonts w:hint="eastAsia"/>
          <w:lang w:val="en-US" w:eastAsia="zh-CN"/>
        </w:rPr>
        <w:t>六、数据中心行业提高能效的技术产品</w:t>
      </w:r>
      <w:r>
        <w:tab/>
      </w:r>
      <w:r>
        <w:fldChar w:fldCharType="begin"/>
      </w:r>
      <w:r>
        <w:instrText xml:space="preserve"> PAGEREF _Toc571 </w:instrText>
      </w:r>
      <w:r>
        <w:fldChar w:fldCharType="separate"/>
      </w:r>
      <w:r>
        <w:t>- 22 -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_Toc12421 </w:instrText>
      </w:r>
      <w:r>
        <w:rPr>
          <w:rFonts w:hint="eastAsia"/>
          <w:lang w:val="en-US" w:eastAsia="zh-CN"/>
        </w:rPr>
        <w:fldChar w:fldCharType="separate"/>
      </w:r>
      <w:r>
        <w:rPr>
          <w:rFonts w:hint="eastAsia"/>
          <w:lang w:val="en-US" w:eastAsia="zh-CN"/>
        </w:rPr>
        <w:t>6.1高效系统集成技术产品</w:t>
      </w:r>
      <w:r>
        <w:tab/>
      </w:r>
      <w:r>
        <w:fldChar w:fldCharType="begin"/>
      </w:r>
      <w:r>
        <w:instrText xml:space="preserve"> PAGEREF _Toc12421 </w:instrText>
      </w:r>
      <w:r>
        <w:fldChar w:fldCharType="separate"/>
      </w:r>
      <w:r>
        <w:t>- 22 -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_Toc21590 </w:instrText>
      </w:r>
      <w:r>
        <w:rPr>
          <w:rFonts w:hint="eastAsia"/>
          <w:lang w:val="en-US" w:eastAsia="zh-CN"/>
        </w:rPr>
        <w:fldChar w:fldCharType="separate"/>
      </w:r>
      <w:r>
        <w:rPr>
          <w:rFonts w:hint="eastAsia"/>
          <w:lang w:val="en-US" w:eastAsia="zh-CN"/>
        </w:rPr>
        <w:t>6.2高效制冷/冷却技术产品</w:t>
      </w:r>
      <w:r>
        <w:tab/>
      </w:r>
      <w:r>
        <w:fldChar w:fldCharType="begin"/>
      </w:r>
      <w:r>
        <w:instrText xml:space="preserve"> PAGEREF _Toc21590 </w:instrText>
      </w:r>
      <w:r>
        <w:fldChar w:fldCharType="separate"/>
      </w:r>
      <w:r>
        <w:t>- 23 -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_Toc5379 </w:instrText>
      </w:r>
      <w:r>
        <w:rPr>
          <w:rFonts w:hint="eastAsia"/>
          <w:lang w:val="en-US" w:eastAsia="zh-CN"/>
        </w:rPr>
        <w:fldChar w:fldCharType="separate"/>
      </w:r>
      <w:r>
        <w:rPr>
          <w:rFonts w:hint="eastAsia"/>
          <w:lang w:val="en-US" w:eastAsia="zh-CN"/>
        </w:rPr>
        <w:t>6.3高效IT技术产品</w:t>
      </w:r>
      <w:r>
        <w:tab/>
      </w:r>
      <w:r>
        <w:fldChar w:fldCharType="begin"/>
      </w:r>
      <w:r>
        <w:instrText xml:space="preserve"> PAGEREF _Toc5379 </w:instrText>
      </w:r>
      <w:r>
        <w:fldChar w:fldCharType="separate"/>
      </w:r>
      <w:r>
        <w:t>- 25 -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_Toc26128 </w:instrText>
      </w:r>
      <w:r>
        <w:rPr>
          <w:rFonts w:hint="eastAsia"/>
          <w:lang w:val="en-US" w:eastAsia="zh-CN"/>
        </w:rPr>
        <w:fldChar w:fldCharType="separate"/>
      </w:r>
      <w:r>
        <w:rPr>
          <w:rFonts w:hint="eastAsia"/>
          <w:lang w:val="en-US" w:eastAsia="zh-CN"/>
        </w:rPr>
        <w:t>6.4高效供配电技术产品</w:t>
      </w:r>
      <w:r>
        <w:tab/>
      </w:r>
      <w:r>
        <w:fldChar w:fldCharType="begin"/>
      </w:r>
      <w:r>
        <w:instrText xml:space="preserve"> PAGEREF _Toc26128 </w:instrText>
      </w:r>
      <w:r>
        <w:fldChar w:fldCharType="separate"/>
      </w:r>
      <w:r>
        <w:t>- 27 -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_Toc13152 </w:instrText>
      </w:r>
      <w:r>
        <w:rPr>
          <w:rFonts w:hint="eastAsia"/>
          <w:lang w:val="en-US" w:eastAsia="zh-CN"/>
        </w:rPr>
        <w:fldChar w:fldCharType="separate"/>
      </w:r>
      <w:r>
        <w:rPr>
          <w:rFonts w:hint="eastAsia"/>
          <w:lang w:val="en-US" w:eastAsia="zh-CN"/>
        </w:rPr>
        <w:t>6.5运维管理技术产品</w:t>
      </w:r>
      <w:r>
        <w:tab/>
      </w:r>
      <w:r>
        <w:fldChar w:fldCharType="begin"/>
      </w:r>
      <w:r>
        <w:instrText xml:space="preserve"> PAGEREF _Toc13152 </w:instrText>
      </w:r>
      <w:r>
        <w:fldChar w:fldCharType="separate"/>
      </w:r>
      <w:r>
        <w:t>- 29 -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_Toc23800 </w:instrText>
      </w:r>
      <w:r>
        <w:rPr>
          <w:rFonts w:hint="eastAsia"/>
          <w:lang w:val="en-US" w:eastAsia="zh-CN"/>
        </w:rPr>
        <w:fldChar w:fldCharType="separate"/>
      </w:r>
      <w:r>
        <w:rPr>
          <w:rFonts w:hint="eastAsia"/>
          <w:lang w:val="en-US" w:eastAsia="zh-CN"/>
        </w:rPr>
        <w:t>附录A 全国部分城市温度分布系数表</w:t>
      </w:r>
      <w:r>
        <w:tab/>
      </w:r>
      <w:r>
        <w:fldChar w:fldCharType="begin"/>
      </w:r>
      <w:r>
        <w:instrText xml:space="preserve"> PAGEREF _Toc23800 </w:instrText>
      </w:r>
      <w:r>
        <w:fldChar w:fldCharType="separate"/>
      </w:r>
      <w:r>
        <w:t>- 30 -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_Toc29382 </w:instrText>
      </w:r>
      <w:r>
        <w:rPr>
          <w:rFonts w:hint="eastAsia"/>
          <w:lang w:val="en-US" w:eastAsia="zh-CN"/>
        </w:rPr>
        <w:fldChar w:fldCharType="separate"/>
      </w:r>
      <w:r>
        <w:rPr>
          <w:rFonts w:hint="eastAsia"/>
          <w:lang w:val="en-US" w:eastAsia="zh-CN"/>
        </w:rPr>
        <w:t>附录B 某数据中心能效对标案例</w:t>
      </w:r>
      <w:r>
        <w:tab/>
      </w:r>
      <w:r>
        <w:fldChar w:fldCharType="begin"/>
      </w:r>
      <w:r>
        <w:instrText xml:space="preserve"> PAGEREF _Toc29382 </w:instrText>
      </w:r>
      <w:r>
        <w:fldChar w:fldCharType="separate"/>
      </w:r>
      <w:r>
        <w:t>- 32 -</w:t>
      </w:r>
      <w:r>
        <w:fldChar w:fldCharType="end"/>
      </w:r>
      <w:r>
        <w:rPr>
          <w:rFonts w:hint="eastAsia"/>
          <w:lang w:val="en-US" w:eastAsia="zh-CN"/>
        </w:rPr>
        <w:fldChar w:fldCharType="end"/>
      </w:r>
    </w:p>
    <w:p>
      <w:pPr>
        <w:pStyle w:val="11"/>
        <w:pageBreakBefore w:val="0"/>
        <w:tabs>
          <w:tab w:val="right" w:leader="dot" w:pos="8306"/>
        </w:tabs>
        <w:kinsoku/>
        <w:wordWrap/>
        <w:overflowPunct/>
        <w:topLinePunct w:val="0"/>
        <w:autoSpaceDE/>
        <w:autoSpaceDN/>
        <w:bidi w:val="0"/>
        <w:adjustRightInd/>
        <w:snapToGrid/>
        <w:ind w:firstLine="0" w:firstLineChars="0"/>
        <w:textAlignment w:val="auto"/>
      </w:pPr>
      <w:r>
        <w:rPr>
          <w:rFonts w:hint="eastAsia"/>
          <w:lang w:val="en-US" w:eastAsia="zh-CN"/>
        </w:rPr>
        <w:fldChar w:fldCharType="begin"/>
      </w:r>
      <w:r>
        <w:rPr>
          <w:rFonts w:hint="eastAsia"/>
          <w:lang w:val="en-US" w:eastAsia="zh-CN"/>
        </w:rPr>
        <w:instrText xml:space="preserve"> HYPERLINK \l _Toc25605 </w:instrText>
      </w:r>
      <w:r>
        <w:rPr>
          <w:rFonts w:hint="eastAsia"/>
          <w:lang w:val="en-US" w:eastAsia="zh-CN"/>
        </w:rPr>
        <w:fldChar w:fldCharType="separate"/>
      </w:r>
      <w:r>
        <w:rPr>
          <w:rFonts w:hint="eastAsia"/>
          <w:lang w:val="en-US" w:eastAsia="zh-CN"/>
        </w:rPr>
        <w:t>附录C 《数据中心 资源利用 第3部分：电能能效要求和测量方法》</w:t>
      </w:r>
      <w:r>
        <w:tab/>
      </w:r>
      <w:r>
        <w:fldChar w:fldCharType="begin"/>
      </w:r>
      <w:r>
        <w:instrText xml:space="preserve"> PAGEREF _Toc25605 </w:instrText>
      </w:r>
      <w:r>
        <w:fldChar w:fldCharType="separate"/>
      </w:r>
      <w:r>
        <w:t>- 40 -</w:t>
      </w:r>
      <w:r>
        <w:fldChar w:fldCharType="end"/>
      </w:r>
      <w:r>
        <w:rPr>
          <w:rFonts w:hint="eastAsia"/>
          <w:lang w:val="en-US" w:eastAsia="zh-CN"/>
        </w:rPr>
        <w:fldChar w:fldCharType="end"/>
      </w:r>
    </w:p>
    <w:p>
      <w:pPr>
        <w:pStyle w:val="3"/>
        <w:pageBreakBefore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r>
        <w:rPr>
          <w:rFonts w:hint="eastAsia"/>
          <w:lang w:val="en-US" w:eastAsia="zh-CN"/>
        </w:rPr>
        <w:fldChar w:fldCharType="end"/>
      </w:r>
    </w:p>
    <w:p>
      <w:pPr>
        <w:pStyle w:val="3"/>
        <w:keepNext/>
        <w:keepLines/>
        <w:pageBreakBefore w:val="0"/>
        <w:widowControl/>
        <w:kinsoku/>
        <w:wordWrap/>
        <w:overflowPunct/>
        <w:topLinePunct w:val="0"/>
        <w:autoSpaceDE/>
        <w:autoSpaceDN/>
        <w:bidi w:val="0"/>
        <w:adjustRightInd/>
        <w:snapToGrid/>
        <w:ind w:firstLine="0" w:firstLineChars="0"/>
        <w:jc w:val="center"/>
        <w:textAlignment w:val="auto"/>
        <w:rPr>
          <w:rFonts w:hint="eastAsia"/>
          <w:lang w:val="en-US" w:eastAsia="zh-CN"/>
        </w:rPr>
      </w:pPr>
      <w:bookmarkStart w:id="34" w:name="_GoBack"/>
      <w:bookmarkEnd w:id="34"/>
      <w:bookmarkStart w:id="4" w:name="_Toc24925"/>
      <w:bookmarkStart w:id="5" w:name="_Toc4068"/>
      <w:bookmarkStart w:id="6" w:name="_Toc4210"/>
      <w:bookmarkStart w:id="7" w:name="_Toc18895"/>
      <w:r>
        <w:rPr>
          <w:rFonts w:hint="eastAsia"/>
          <w:lang w:val="en-US" w:eastAsia="zh-CN"/>
        </w:rPr>
        <w:t>前 言</w:t>
      </w:r>
      <w:bookmarkEnd w:id="4"/>
      <w:bookmarkEnd w:id="5"/>
      <w:bookmarkEnd w:id="6"/>
      <w:bookmarkEnd w:id="7"/>
    </w:p>
    <w:p>
      <w:pPr>
        <w:rPr>
          <w:rFonts w:hint="eastAsia"/>
          <w:color w:val="auto"/>
          <w:lang w:val="en-US" w:eastAsia="zh-CN"/>
        </w:rPr>
      </w:pPr>
      <w:r>
        <w:rPr>
          <w:rFonts w:hint="eastAsia"/>
          <w:color w:val="auto"/>
          <w:lang w:val="en-US" w:eastAsia="zh-CN"/>
        </w:rPr>
        <w:t>近年来，我省数据中心建设规模呈爆发性增长。截至2019年底，全省已投产标准机架数量为21.8万个，到2020年底，全省已投产标准机架数量猛增到48.5万个，已经超过2022年建成47万个标准机架的规划目标</w:t>
      </w:r>
      <w:r>
        <w:rPr>
          <w:rStyle w:val="15"/>
          <w:rFonts w:hint="eastAsia"/>
          <w:color w:val="auto"/>
          <w:lang w:val="en-US" w:eastAsia="zh-CN"/>
        </w:rPr>
        <w:footnoteReference w:id="0"/>
      </w:r>
      <w:r>
        <w:rPr>
          <w:rFonts w:hint="eastAsia"/>
          <w:color w:val="auto"/>
          <w:lang w:val="en-US" w:eastAsia="zh-CN"/>
        </w:rPr>
        <w:t>。而全省数据中心整体能效水平有待提高，两极差异明显，电能利用效率最优水平在1.2~1.3，最差水平在1.9左右，平均水平在1.77左右。我省数据中心能效升级任重道远，应积极推动数据中心能效对标，提高数据中心企业能效管理水平，强化数据中心企业节能意识，提升全省数据中心整体能效水平，助力碳达峰碳中和目标。</w:t>
      </w:r>
    </w:p>
    <w:p>
      <w:pPr>
        <w:rPr>
          <w:rFonts w:hint="eastAsia"/>
          <w:lang w:val="en-US" w:eastAsia="zh-CN"/>
        </w:rPr>
      </w:pPr>
      <w:r>
        <w:rPr>
          <w:rFonts w:hint="eastAsia"/>
          <w:color w:val="auto"/>
          <w:lang w:val="en-US" w:eastAsia="zh-CN"/>
        </w:rPr>
        <w:t>我协会受广东省工业和信息化厅委托，特编制《数据中心能效对标指南》，作为各数据中心在开展能效对标活动时的参考依据。</w:t>
      </w:r>
      <w:r>
        <w:rPr>
          <w:rFonts w:hint="eastAsia"/>
          <w:lang w:val="en-US" w:eastAsia="zh-CN"/>
        </w:rPr>
        <w:br w:type="page"/>
      </w:r>
    </w:p>
    <w:p>
      <w:pPr>
        <w:pStyle w:val="3"/>
        <w:bidi w:val="0"/>
        <w:rPr>
          <w:rFonts w:hint="eastAsia"/>
          <w:lang w:val="en-US" w:eastAsia="zh-CN"/>
        </w:rPr>
      </w:pPr>
      <w:bookmarkStart w:id="8" w:name="_Toc9671"/>
      <w:r>
        <w:rPr>
          <w:rFonts w:hint="eastAsia"/>
          <w:lang w:val="en-US" w:eastAsia="zh-CN"/>
        </w:rPr>
        <w:t>一、能效对标概述</w:t>
      </w:r>
      <w:bookmarkEnd w:id="8"/>
    </w:p>
    <w:p>
      <w:pPr>
        <w:rPr>
          <w:rFonts w:hint="eastAsia"/>
          <w:lang w:val="en-US" w:eastAsia="zh-CN"/>
        </w:rPr>
      </w:pPr>
      <w:r>
        <w:rPr>
          <w:rFonts w:hint="default"/>
          <w:lang w:val="en-US" w:eastAsia="zh-CN"/>
        </w:rPr>
        <w:t>能效对标，是将用能单位或用能设备的能效指标与相关能效标准</w:t>
      </w:r>
      <w:r>
        <w:rPr>
          <w:rFonts w:hint="eastAsia"/>
          <w:lang w:val="en-US" w:eastAsia="zh-CN"/>
        </w:rPr>
        <w:t>或先进能效水平</w:t>
      </w:r>
      <w:r>
        <w:rPr>
          <w:rFonts w:hint="default"/>
          <w:lang w:val="en-US" w:eastAsia="zh-CN"/>
        </w:rPr>
        <w:t>进行对比分析</w:t>
      </w:r>
      <w:r>
        <w:rPr>
          <w:rFonts w:hint="eastAsia"/>
          <w:lang w:val="en-US" w:eastAsia="zh-CN"/>
        </w:rPr>
        <w:t>，</w:t>
      </w:r>
      <w:r>
        <w:rPr>
          <w:rFonts w:hint="default"/>
          <w:lang w:val="en-US" w:eastAsia="zh-CN"/>
        </w:rPr>
        <w:t>采取管理和技术措施，提高能效水平的活动。能效对标的主要内容包括现状分析、选定标杆、制订方案、对标实践、指标评估、改进提高</w:t>
      </w:r>
      <w:r>
        <w:rPr>
          <w:rFonts w:hint="eastAsia"/>
          <w:lang w:val="en-US" w:eastAsia="zh-CN"/>
        </w:rPr>
        <w:t>。</w:t>
      </w:r>
    </w:p>
    <w:p>
      <w:pPr>
        <w:pStyle w:val="2"/>
        <w:rPr>
          <w:rFonts w:hint="eastAsia"/>
          <w:lang w:val="en-US" w:eastAsia="zh-CN"/>
        </w:rPr>
      </w:pPr>
      <w:r>
        <w:rPr>
          <w:rFonts w:hint="eastAsia"/>
          <w:lang w:val="en-US" w:eastAsia="zh-CN"/>
        </w:rPr>
        <w:t>对于企业来说，能效对标是一种科学、系统、规范的对自身能效水平进行评价分析的方式，通过与国内外同行业先进企业的能效指标进行对比分析，确定能效标杆，再通过节能管理和技术改进措施，达到提升自身能效水平的目的。</w:t>
      </w:r>
    </w:p>
    <w:p>
      <w:pPr>
        <w:pStyle w:val="2"/>
        <w:rPr>
          <w:rFonts w:hint="eastAsia"/>
          <w:lang w:val="en-US" w:eastAsia="zh-CN"/>
        </w:rPr>
      </w:pPr>
      <w:r>
        <w:rPr>
          <w:rFonts w:hint="eastAsia"/>
          <w:lang w:val="en-US" w:eastAsia="zh-CN"/>
        </w:rPr>
        <w:t>开展能效对标行动有两个关键要素，即“最佳节能实践”和“能效度量标准”。“最佳节能实践”是指同行业中节能先进企业在能源管理方面所推行的最有效的节能管理方式和技术措施；“能效度量标准”则指能真实客观地反映企业能源管理绩效的一套能效指标体系以及与之对应的作为标杆的一套基准数据，如单位产品综合能耗指标、重点工序能耗指标等。</w:t>
      </w:r>
    </w:p>
    <w:p>
      <w:pPr>
        <w:pStyle w:val="2"/>
        <w:rPr>
          <w:rFonts w:hint="eastAsia"/>
          <w:lang w:val="en-US" w:eastAsia="zh-CN"/>
        </w:rPr>
      </w:pPr>
      <w:r>
        <w:rPr>
          <w:rFonts w:hint="eastAsia"/>
          <w:color w:val="auto"/>
          <w:lang w:val="en-US" w:eastAsia="zh-CN"/>
        </w:rPr>
        <w:t>企业开展能效对标行动是对最优能源管理模式的一次探索。一般来说，企业开展能效对标可分为</w:t>
      </w:r>
      <w:r>
        <w:rPr>
          <w:rFonts w:hint="eastAsia"/>
          <w:b/>
          <w:bCs/>
          <w:color w:val="auto"/>
          <w:lang w:val="en-US" w:eastAsia="zh-CN"/>
        </w:rPr>
        <w:t>内部对标</w:t>
      </w:r>
      <w:r>
        <w:rPr>
          <w:rFonts w:hint="eastAsia"/>
          <w:color w:val="auto"/>
          <w:lang w:val="en-US" w:eastAsia="zh-CN"/>
        </w:rPr>
        <w:t>和</w:t>
      </w:r>
      <w:r>
        <w:rPr>
          <w:rFonts w:hint="eastAsia"/>
          <w:b/>
          <w:bCs/>
          <w:color w:val="auto"/>
          <w:lang w:val="en-US" w:eastAsia="zh-CN"/>
        </w:rPr>
        <w:t>外部对标</w:t>
      </w:r>
      <w:r>
        <w:rPr>
          <w:rFonts w:hint="eastAsia"/>
          <w:color w:val="auto"/>
          <w:lang w:val="en-US" w:eastAsia="zh-CN"/>
        </w:rPr>
        <w:t>两种方式。</w:t>
      </w:r>
      <w:r>
        <w:rPr>
          <w:rFonts w:hint="eastAsia"/>
          <w:b/>
          <w:bCs/>
          <w:color w:val="auto"/>
          <w:lang w:val="en-US" w:eastAsia="zh-CN"/>
        </w:rPr>
        <w:t>内部对标</w:t>
      </w:r>
      <w:r>
        <w:rPr>
          <w:rFonts w:hint="eastAsia"/>
          <w:b w:val="0"/>
          <w:bCs w:val="0"/>
          <w:color w:val="auto"/>
          <w:lang w:val="en-US" w:eastAsia="zh-CN"/>
        </w:rPr>
        <w:t>是</w:t>
      </w:r>
      <w:r>
        <w:rPr>
          <w:rFonts w:hint="eastAsia"/>
          <w:color w:val="auto"/>
          <w:lang w:val="en-US" w:eastAsia="zh-CN"/>
        </w:rPr>
        <w:t>指在企业内部开展的能效对标工作，可以是企业自身能效指标的不断超越，也可以是将企业内部能源管理工作更具绩效的某一部门的做法当作其他部门学习标杆的对标方式。内部对标活动的基本目标，是找出一个企业的内部能效绩效标准，通过内部节能信息分析，找出最佳内部节能实践，内部对标的能效指标可以选择以设计值和历史最好能效水平作为对标基准</w:t>
      </w:r>
      <w:r>
        <w:rPr>
          <w:rFonts w:hint="eastAsia"/>
          <w:b w:val="0"/>
          <w:bCs w:val="0"/>
          <w:color w:val="auto"/>
          <w:lang w:val="en-US" w:eastAsia="zh-CN"/>
        </w:rPr>
        <w:t>。</w:t>
      </w:r>
      <w:r>
        <w:rPr>
          <w:rFonts w:hint="eastAsia"/>
          <w:b/>
          <w:bCs/>
          <w:color w:val="auto"/>
          <w:lang w:val="en-US" w:eastAsia="zh-CN"/>
        </w:rPr>
        <w:t>外部能效对标</w:t>
      </w:r>
      <w:r>
        <w:rPr>
          <w:rFonts w:hint="eastAsia"/>
          <w:color w:val="auto"/>
          <w:lang w:val="en-US" w:eastAsia="zh-CN"/>
        </w:rPr>
        <w:t>是指将能效对标的范围扩大到全国乃至全球，与同行业中节能先进企业的相应能效指标进行对比分析，从而学习先进企业的节能技术及有效的管理手段，来提升本企业能效水平。</w:t>
      </w:r>
      <w:r>
        <w:rPr>
          <w:rFonts w:hint="eastAsia"/>
          <w:lang w:val="en-US" w:eastAsia="zh-CN"/>
        </w:rPr>
        <w:t>企业能否成功地开展外部能效对标行动，关键的一点在于选择并确定适当的标杆。</w:t>
      </w:r>
    </w:p>
    <w:p>
      <w:pPr>
        <w:rPr>
          <w:rFonts w:hint="eastAsia"/>
          <w:lang w:val="en-US" w:eastAsia="zh-CN"/>
        </w:rPr>
      </w:pPr>
      <w:r>
        <w:rPr>
          <w:rFonts w:hint="eastAsia"/>
          <w:lang w:val="en-US" w:eastAsia="zh-CN"/>
        </w:rPr>
        <w:br w:type="page"/>
      </w:r>
    </w:p>
    <w:p>
      <w:pPr>
        <w:pStyle w:val="3"/>
        <w:bidi w:val="0"/>
        <w:rPr>
          <w:rFonts w:hint="eastAsia"/>
          <w:lang w:val="en-US" w:eastAsia="zh-CN"/>
        </w:rPr>
      </w:pPr>
      <w:bookmarkStart w:id="9" w:name="_Toc18346"/>
      <w:r>
        <w:rPr>
          <w:rFonts w:hint="eastAsia"/>
          <w:lang w:val="en-US" w:eastAsia="zh-CN"/>
        </w:rPr>
        <w:t>二、数据中心行业开展能效对标的意义</w:t>
      </w:r>
      <w:bookmarkEnd w:id="9"/>
    </w:p>
    <w:p>
      <w:pPr>
        <w:pStyle w:val="2"/>
        <w:rPr>
          <w:rFonts w:hint="eastAsia" w:eastAsia="仿宋_GB2312"/>
          <w:b w:val="0"/>
          <w:bCs w:val="0"/>
          <w:lang w:val="en-US" w:eastAsia="zh-CN"/>
        </w:rPr>
      </w:pPr>
      <w:r>
        <w:rPr>
          <w:rFonts w:hint="eastAsia"/>
          <w:b w:val="0"/>
          <w:bCs w:val="0"/>
          <w:lang w:val="en-US" w:eastAsia="zh-CN"/>
        </w:rPr>
        <w:t>数据中心作为信息化产业的基石，一直备受社会各界关注，随着新基建的概念被提出，数据中心迎来了更大的发展机遇，各地纷纷部署、规划数据中心的建设，一时间数据中心得到了迅猛的发展。与此同时，数据中心能耗量居高不下，能效水平偏低，给各地节能工作带来不小的压力。</w:t>
      </w:r>
    </w:p>
    <w:p>
      <w:pPr>
        <w:pStyle w:val="2"/>
        <w:rPr>
          <w:rFonts w:hint="default"/>
          <w:lang w:val="en-US" w:eastAsia="zh-CN"/>
        </w:rPr>
      </w:pPr>
      <w:r>
        <w:rPr>
          <w:rFonts w:hint="eastAsia"/>
          <w:b w:val="0"/>
          <w:bCs w:val="0"/>
          <w:lang w:val="en-US" w:eastAsia="zh-CN"/>
        </w:rPr>
        <w:t>在发展规模方面，</w:t>
      </w:r>
      <w:r>
        <w:rPr>
          <w:rFonts w:hint="eastAsia"/>
          <w:lang w:val="en-US" w:eastAsia="zh-CN"/>
        </w:rPr>
        <w:t>截至2019年底，</w:t>
      </w:r>
      <w:r>
        <w:rPr>
          <w:rFonts w:hint="eastAsia"/>
          <w:b w:val="0"/>
          <w:bCs w:val="0"/>
          <w:lang w:val="en-US" w:eastAsia="zh-CN"/>
        </w:rPr>
        <w:t>全国范围内</w:t>
      </w:r>
      <w:r>
        <w:rPr>
          <w:rFonts w:hint="eastAsia"/>
          <w:lang w:val="en-US" w:eastAsia="zh-CN"/>
        </w:rPr>
        <w:t>在用数据中心机架总规模达到315万架</w:t>
      </w:r>
      <w:bookmarkStart w:id="10" w:name="_Ref22679"/>
      <w:r>
        <w:rPr>
          <w:rStyle w:val="15"/>
          <w:rFonts w:hint="eastAsia"/>
          <w:lang w:val="en-US" w:eastAsia="zh-CN"/>
        </w:rPr>
        <w:footnoteReference w:id="1"/>
      </w:r>
      <w:bookmarkEnd w:id="10"/>
      <w:r>
        <w:rPr>
          <w:rFonts w:hint="eastAsia"/>
          <w:lang w:val="en-US" w:eastAsia="zh-CN"/>
        </w:rPr>
        <w:t>，近5年年均增速超过30%；在广东省范围内，截至2020年底，全省已投产48.5万个机架，按照《广东省5G基站和数据中心总体布局规划（2021-2025年）》，全省2022年规划建设数据中心标准机柜47万个，2025年100万个。截至2020年底，我省已投产和已通过节能审查的在建拟建标准机柜高达150万个，已经远远超过2025年规划建设总规模。</w:t>
      </w:r>
    </w:p>
    <w:p>
      <w:pPr>
        <w:pStyle w:val="17"/>
        <w:bidi w:val="0"/>
      </w:pPr>
      <w:r>
        <w:drawing>
          <wp:inline distT="0" distB="0" distL="114300" distR="114300">
            <wp:extent cx="4572000" cy="2743200"/>
            <wp:effectExtent l="4445" t="4445" r="14605" b="14605"/>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19"/>
        <w:bidi w:val="0"/>
        <w:rPr>
          <w:rFonts w:hint="default" w:eastAsia="宋体"/>
          <w:lang w:val="en-US" w:eastAsia="zh-CN"/>
        </w:rPr>
      </w:pPr>
      <w:r>
        <w:rPr>
          <w:rFonts w:hint="eastAsia"/>
          <w:lang w:eastAsia="zh-CN"/>
        </w:rPr>
        <w:t>图</w:t>
      </w:r>
      <w:r>
        <w:rPr>
          <w:rFonts w:hint="eastAsia"/>
          <w:lang w:val="en-US" w:eastAsia="zh-CN"/>
        </w:rPr>
        <w:t>2-1“十三五”期间全国数据中心规模及发展趋势</w:t>
      </w:r>
    </w:p>
    <w:p>
      <w:pPr>
        <w:pStyle w:val="2"/>
        <w:rPr>
          <w:rFonts w:hint="eastAsia"/>
          <w:lang w:val="en-US" w:eastAsia="zh-CN"/>
        </w:rPr>
      </w:pPr>
      <w:r>
        <w:rPr>
          <w:rFonts w:hint="eastAsia"/>
          <w:b w:val="0"/>
          <w:bCs w:val="0"/>
          <w:lang w:val="en-US" w:eastAsia="zh-CN"/>
        </w:rPr>
        <w:t>在能耗方面，</w:t>
      </w:r>
      <w:r>
        <w:rPr>
          <w:rFonts w:hint="eastAsia"/>
          <w:lang w:val="en-US" w:eastAsia="zh-CN"/>
        </w:rPr>
        <w:t>2018年我国数据中心总耗电量超过1600亿千瓦时，高于上海市2018年全社会用电量（1567亿千瓦时）；2019年广东省已投产使用的数据中心年耗电量达50亿千瓦时，约占全省全社会用电量的0.75%（2019年广东省全社会用电量为6695.85亿千瓦时）。</w:t>
      </w:r>
    </w:p>
    <w:p>
      <w:pPr>
        <w:pStyle w:val="2"/>
        <w:bidi w:val="0"/>
        <w:rPr>
          <w:rFonts w:hint="eastAsia"/>
          <w:lang w:val="en-US" w:eastAsia="zh-CN"/>
        </w:rPr>
      </w:pPr>
      <w:r>
        <w:rPr>
          <w:rFonts w:hint="eastAsia"/>
          <w:lang w:val="en-US" w:eastAsia="zh-CN"/>
        </w:rPr>
        <w:t>在如今资源、能源日益紧缺的形势下，对于数据中心具有如此庞大的发展规模和巨量电能消耗的现状，提高数据中心能源利用效率、促进数据中心绿色发展显得尤为重要。根据中国信通院数据显示，截至2019年底，全国对外服务型数据中心平均PUE值约为1.60，而我省已投产使用的数据中心平均PUE值为1.77</w:t>
      </w:r>
      <w:r>
        <w:rPr>
          <w:rFonts w:hint="eastAsia"/>
          <w:lang w:val="en-US" w:eastAsia="zh-CN"/>
        </w:rPr>
        <w:fldChar w:fldCharType="begin"/>
      </w:r>
      <w:r>
        <w:rPr>
          <w:rFonts w:hint="eastAsia"/>
          <w:lang w:val="en-US" w:eastAsia="zh-CN"/>
        </w:rPr>
        <w:instrText xml:space="preserve"> NOTEREF _Ref29404 \f \h </w:instrText>
      </w:r>
      <w:r>
        <w:rPr>
          <w:rFonts w:hint="eastAsia"/>
          <w:lang w:val="en-US" w:eastAsia="zh-CN"/>
        </w:rPr>
        <w:fldChar w:fldCharType="separate"/>
      </w:r>
      <w:r>
        <w:rPr>
          <w:rFonts w:hint="eastAsia"/>
          <w:vertAlign w:val="superscript"/>
          <w:lang w:val="en-US" w:eastAsia="zh-CN"/>
        </w:rPr>
        <w:t>2</w:t>
      </w:r>
      <w:r>
        <w:rPr>
          <w:rFonts w:hint="eastAsia"/>
          <w:lang w:val="en-US" w:eastAsia="zh-CN"/>
        </w:rPr>
        <w:fldChar w:fldCharType="end"/>
      </w:r>
      <w:r>
        <w:rPr>
          <w:rFonts w:hint="eastAsia"/>
          <w:lang w:val="en-US" w:eastAsia="zh-CN"/>
        </w:rPr>
        <w:t>，可见我省数据中心能效水平还未达到全国平均水平，我省数据中心行业的“节能提效”压力更为明显。</w:t>
      </w:r>
    </w:p>
    <w:p>
      <w:pPr>
        <w:bidi w:val="0"/>
        <w:rPr>
          <w:rFonts w:hint="eastAsia"/>
          <w:lang w:val="en-US" w:eastAsia="zh-CN"/>
        </w:rPr>
      </w:pPr>
      <w:r>
        <w:rPr>
          <w:rFonts w:hint="eastAsia"/>
          <w:lang w:val="en-US" w:eastAsia="zh-CN"/>
        </w:rPr>
        <w:t>实施能效对标活动，有利于企业学习和借鉴国内外先进企业的管理理念，有利于企业制定适合自身发展的中长期发展规划，有利于促进企业建立动态的能效管理机制，有利于形成持续学习的企业文化，从而实现不断提高企业能效管理水平的目的。具体可从五个方面来分析：</w:t>
      </w:r>
    </w:p>
    <w:p>
      <w:pPr>
        <w:numPr>
          <w:ilvl w:val="0"/>
          <w:numId w:val="3"/>
        </w:numPr>
        <w:bidi w:val="0"/>
        <w:rPr>
          <w:rFonts w:hint="eastAsia"/>
          <w:lang w:val="en-US" w:eastAsia="zh-CN"/>
        </w:rPr>
      </w:pPr>
      <w:r>
        <w:rPr>
          <w:rFonts w:hint="eastAsia"/>
          <w:lang w:val="en-US" w:eastAsia="zh-CN"/>
        </w:rPr>
        <w:t>能效对标能够帮助企业了解自身能源利用状况，发现与同行业优秀企业在能源利用效率方面的差距，从而有针对性地制定适合本企业发展的中长期发展战略规划。</w:t>
      </w:r>
    </w:p>
    <w:p>
      <w:pPr>
        <w:pStyle w:val="2"/>
        <w:numPr>
          <w:ilvl w:val="0"/>
          <w:numId w:val="3"/>
        </w:numPr>
        <w:rPr>
          <w:rFonts w:hint="default"/>
          <w:lang w:val="en-US" w:eastAsia="zh-CN"/>
        </w:rPr>
      </w:pPr>
      <w:r>
        <w:rPr>
          <w:rFonts w:hint="eastAsia"/>
          <w:lang w:val="en-US" w:eastAsia="zh-CN"/>
        </w:rPr>
        <w:t>通过对标杆企业先进节能理念和典型经验的借鉴与学习，可以确定要达到或赶超的目标，有效改进企业的管理水平，提高经营绩效，可以充分地发挥员工的积极性和主观能动性，进而提高企业的凝聚力和向心力。</w:t>
      </w:r>
    </w:p>
    <w:p>
      <w:pPr>
        <w:pStyle w:val="2"/>
        <w:numPr>
          <w:ilvl w:val="0"/>
          <w:numId w:val="3"/>
        </w:numPr>
        <w:rPr>
          <w:rFonts w:hint="default"/>
          <w:lang w:val="en-US" w:eastAsia="zh-CN"/>
        </w:rPr>
      </w:pPr>
      <w:r>
        <w:rPr>
          <w:rFonts w:hint="eastAsia"/>
          <w:lang w:val="en-US" w:eastAsia="zh-CN"/>
        </w:rPr>
        <w:t>能效对标通过精细化管理，可以使企业明确今后的工作重点和改进方向，合理安排工作计划，促进企业整体能效管理水平的提高。</w:t>
      </w:r>
    </w:p>
    <w:p>
      <w:pPr>
        <w:pStyle w:val="2"/>
        <w:numPr>
          <w:ilvl w:val="0"/>
          <w:numId w:val="3"/>
        </w:numPr>
        <w:rPr>
          <w:rFonts w:hint="default"/>
          <w:lang w:val="en-US" w:eastAsia="zh-CN"/>
        </w:rPr>
      </w:pPr>
      <w:r>
        <w:rPr>
          <w:rFonts w:hint="eastAsia"/>
          <w:lang w:val="en-US" w:eastAsia="zh-CN"/>
        </w:rPr>
        <w:t>能效对标与绩效管理有机结合，为企业进行能效考核提供了一项管理工具，可以帮助企业制定能效考核标准，制定、改进绩效管理办法。</w:t>
      </w:r>
    </w:p>
    <w:p>
      <w:pPr>
        <w:pStyle w:val="2"/>
        <w:numPr>
          <w:ilvl w:val="0"/>
          <w:numId w:val="3"/>
        </w:numPr>
        <w:rPr>
          <w:rFonts w:hint="default"/>
          <w:lang w:val="en-US" w:eastAsia="zh-CN"/>
        </w:rPr>
      </w:pPr>
      <w:r>
        <w:rPr>
          <w:rFonts w:hint="default"/>
          <w:lang w:val="en-US" w:eastAsia="zh-CN"/>
        </w:rPr>
        <w:t>持续长期的能效对标活动，能够促使企业节约能源费用，降低生产成本，增强企业的竞争</w:t>
      </w:r>
      <w:r>
        <w:rPr>
          <w:rFonts w:hint="eastAsia"/>
          <w:lang w:val="en-US" w:eastAsia="zh-CN"/>
        </w:rPr>
        <w:t>力。</w:t>
      </w:r>
    </w:p>
    <w:p>
      <w:pPr>
        <w:rPr>
          <w:rFonts w:hint="eastAsia"/>
          <w:lang w:val="en-US" w:eastAsia="zh-CN"/>
        </w:rPr>
      </w:pPr>
      <w:r>
        <w:rPr>
          <w:rFonts w:hint="eastAsia"/>
          <w:lang w:val="en-US" w:eastAsia="zh-CN"/>
        </w:rPr>
        <w:br w:type="page"/>
      </w:r>
    </w:p>
    <w:p>
      <w:pPr>
        <w:pStyle w:val="3"/>
        <w:bidi w:val="0"/>
        <w:rPr>
          <w:rFonts w:hint="eastAsia"/>
          <w:lang w:val="en-US" w:eastAsia="zh-CN"/>
        </w:rPr>
      </w:pPr>
      <w:bookmarkStart w:id="11" w:name="_Toc24715"/>
      <w:r>
        <w:rPr>
          <w:rFonts w:hint="eastAsia"/>
          <w:lang w:val="en-US" w:eastAsia="zh-CN"/>
        </w:rPr>
        <w:t>三、数据中心能效对标指标体系</w:t>
      </w:r>
      <w:bookmarkEnd w:id="11"/>
    </w:p>
    <w:p>
      <w:pPr>
        <w:pStyle w:val="4"/>
        <w:bidi w:val="0"/>
        <w:rPr>
          <w:rFonts w:hint="eastAsia"/>
          <w:lang w:val="en-US" w:eastAsia="zh-CN"/>
        </w:rPr>
      </w:pPr>
      <w:bookmarkStart w:id="12" w:name="_Toc30331"/>
      <w:r>
        <w:rPr>
          <w:rFonts w:hint="eastAsia"/>
          <w:lang w:val="en-US" w:eastAsia="zh-CN"/>
        </w:rPr>
        <w:t>3.1数据中心能耗构成</w:t>
      </w:r>
      <w:bookmarkEnd w:id="12"/>
    </w:p>
    <w:p>
      <w:pPr>
        <w:bidi w:val="0"/>
        <w:rPr>
          <w:rFonts w:hint="eastAsia"/>
          <w:lang w:val="en-US" w:eastAsia="zh-CN"/>
        </w:rPr>
      </w:pPr>
      <w:r>
        <w:rPr>
          <w:rFonts w:hint="eastAsia"/>
          <w:lang w:val="en-US" w:eastAsia="zh-CN"/>
        </w:rPr>
        <w:t>数据中心能耗构成</w:t>
      </w:r>
      <w:r>
        <w:rPr>
          <w:rFonts w:hint="default"/>
          <w:lang w:val="en-US" w:eastAsia="zh-CN"/>
        </w:rPr>
        <w:t>主要分为IT设备、制冷设备、供配电系统损耗和其他设施四大部分</w:t>
      </w:r>
      <w:r>
        <w:rPr>
          <w:rFonts w:hint="eastAsia"/>
          <w:lang w:val="en-US" w:eastAsia="zh-CN"/>
        </w:rPr>
        <w:t>，具体如下图。</w:t>
      </w:r>
    </w:p>
    <w:p>
      <w:pPr>
        <w:pStyle w:val="17"/>
        <w:bidi w:val="0"/>
      </w:pPr>
      <w:r>
        <w:drawing>
          <wp:inline distT="0" distB="0" distL="114300" distR="114300">
            <wp:extent cx="5464175" cy="4311650"/>
            <wp:effectExtent l="0" t="0" r="952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64175" cy="4311650"/>
                    </a:xfrm>
                    <a:prstGeom prst="rect">
                      <a:avLst/>
                    </a:prstGeom>
                    <a:noFill/>
                    <a:ln>
                      <a:noFill/>
                    </a:ln>
                  </pic:spPr>
                </pic:pic>
              </a:graphicData>
            </a:graphic>
          </wp:inline>
        </w:drawing>
      </w:r>
    </w:p>
    <w:p>
      <w:pPr>
        <w:pStyle w:val="19"/>
        <w:bidi w:val="0"/>
        <w:rPr>
          <w:rFonts w:hint="default"/>
          <w:lang w:val="en-US" w:eastAsia="zh-CN"/>
        </w:rPr>
      </w:pPr>
      <w:r>
        <w:rPr>
          <w:rFonts w:hint="eastAsia"/>
          <w:lang w:val="en-US" w:eastAsia="zh-CN"/>
        </w:rPr>
        <w:t>图3-1 数据中心能耗设备构成</w:t>
      </w:r>
    </w:p>
    <w:p>
      <w:pPr>
        <w:bidi w:val="0"/>
        <w:rPr>
          <w:rFonts w:hint="eastAsia"/>
          <w:lang w:val="en-US" w:eastAsia="zh-CN"/>
        </w:rPr>
      </w:pPr>
      <w:r>
        <w:rPr>
          <w:rFonts w:hint="eastAsia"/>
          <w:lang w:val="en-US" w:eastAsia="zh-CN"/>
        </w:rPr>
        <w:t>根据国家标准《数据中心能效限定值及能效等级》（GB40879-2021）编制说明，数据中心IT设备耗电量占比约为30%，空调设备耗电量占比约为45%，供配电系统耗电量占比约为25%。具体如下图所示。</w:t>
      </w:r>
    </w:p>
    <w:p>
      <w:pPr>
        <w:pStyle w:val="17"/>
        <w:bidi w:val="0"/>
      </w:pPr>
      <w:r>
        <w:drawing>
          <wp:inline distT="0" distB="0" distL="114300" distR="114300">
            <wp:extent cx="4457700" cy="2825750"/>
            <wp:effectExtent l="0" t="0" r="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4457700" cy="2825750"/>
                    </a:xfrm>
                    <a:prstGeom prst="rect">
                      <a:avLst/>
                    </a:prstGeom>
                    <a:noFill/>
                    <a:ln>
                      <a:noFill/>
                    </a:ln>
                  </pic:spPr>
                </pic:pic>
              </a:graphicData>
            </a:graphic>
          </wp:inline>
        </w:drawing>
      </w:r>
    </w:p>
    <w:p>
      <w:pPr>
        <w:pStyle w:val="19"/>
        <w:bidi w:val="0"/>
        <w:rPr>
          <w:rFonts w:hint="default"/>
          <w:lang w:val="en-US" w:eastAsia="zh-CN"/>
        </w:rPr>
      </w:pPr>
      <w:r>
        <w:rPr>
          <w:rFonts w:hint="eastAsia"/>
          <w:lang w:val="en-US" w:eastAsia="zh-CN"/>
        </w:rPr>
        <w:t>图3-2 数据中心设备耗电量占比结构图</w:t>
      </w:r>
    </w:p>
    <w:p>
      <w:pPr>
        <w:pStyle w:val="4"/>
        <w:bidi w:val="0"/>
        <w:rPr>
          <w:rFonts w:hint="default"/>
          <w:lang w:val="en-US" w:eastAsia="zh-CN"/>
        </w:rPr>
      </w:pPr>
      <w:bookmarkStart w:id="13" w:name="_Toc15968"/>
      <w:r>
        <w:rPr>
          <w:rFonts w:hint="eastAsia"/>
          <w:lang w:val="en-US" w:eastAsia="zh-CN"/>
        </w:rPr>
        <w:t>3.2数据中心能耗指标选择</w:t>
      </w:r>
      <w:bookmarkEnd w:id="13"/>
    </w:p>
    <w:p>
      <w:pPr>
        <w:rPr>
          <w:rFonts w:hint="eastAsia"/>
          <w:lang w:val="en-US" w:eastAsia="zh-CN"/>
        </w:rPr>
      </w:pPr>
      <w:r>
        <w:rPr>
          <w:rFonts w:hint="eastAsia"/>
          <w:lang w:val="en-US" w:eastAsia="zh-CN"/>
        </w:rPr>
        <w:t>根据国家标准《数据中心能效限定值及能效等级》、《数据中心资源利用第二部分：关键性能指标设置要求》（GB/T32910.2-2017），数据中心关键性能指标主要有：</w:t>
      </w:r>
    </w:p>
    <w:p>
      <w:pPr>
        <w:numPr>
          <w:ilvl w:val="0"/>
          <w:numId w:val="4"/>
        </w:numPr>
        <w:bidi w:val="0"/>
        <w:rPr>
          <w:rFonts w:hint="eastAsia"/>
          <w:lang w:val="en-US" w:eastAsia="zh-CN"/>
        </w:rPr>
      </w:pPr>
      <w:r>
        <w:rPr>
          <w:rFonts w:hint="eastAsia"/>
          <w:lang w:val="en-US" w:eastAsia="zh-CN"/>
        </w:rPr>
        <w:t>电能比（即电能利用效率）；</w:t>
      </w:r>
    </w:p>
    <w:p>
      <w:pPr>
        <w:numPr>
          <w:ilvl w:val="0"/>
          <w:numId w:val="4"/>
        </w:numPr>
        <w:bidi w:val="0"/>
        <w:rPr>
          <w:rFonts w:hint="eastAsia"/>
          <w:lang w:val="en-US" w:eastAsia="zh-CN"/>
        </w:rPr>
      </w:pPr>
      <w:r>
        <w:rPr>
          <w:rFonts w:hint="eastAsia"/>
          <w:lang w:val="en-US" w:eastAsia="zh-CN"/>
        </w:rPr>
        <w:t>可再生能源利用效率；</w:t>
      </w:r>
    </w:p>
    <w:p>
      <w:pPr>
        <w:numPr>
          <w:ilvl w:val="0"/>
          <w:numId w:val="4"/>
        </w:numPr>
        <w:bidi w:val="0"/>
        <w:rPr>
          <w:rFonts w:hint="eastAsia"/>
          <w:lang w:val="en-US" w:eastAsia="zh-CN"/>
        </w:rPr>
      </w:pPr>
      <w:r>
        <w:rPr>
          <w:rFonts w:hint="eastAsia"/>
          <w:lang w:val="en-US" w:eastAsia="zh-CN"/>
        </w:rPr>
        <w:t>制冷负载因子；</w:t>
      </w:r>
    </w:p>
    <w:p>
      <w:pPr>
        <w:numPr>
          <w:ilvl w:val="0"/>
          <w:numId w:val="4"/>
        </w:numPr>
        <w:bidi w:val="0"/>
        <w:rPr>
          <w:rFonts w:hint="eastAsia"/>
          <w:lang w:val="en-US" w:eastAsia="zh-CN"/>
        </w:rPr>
      </w:pPr>
      <w:r>
        <w:rPr>
          <w:rFonts w:hint="eastAsia"/>
          <w:lang w:val="en-US" w:eastAsia="zh-CN"/>
        </w:rPr>
        <w:t>供电负载因子；</w:t>
      </w:r>
    </w:p>
    <w:p>
      <w:pPr>
        <w:numPr>
          <w:ilvl w:val="0"/>
          <w:numId w:val="4"/>
        </w:numPr>
        <w:bidi w:val="0"/>
        <w:rPr>
          <w:rFonts w:hint="eastAsia"/>
          <w:lang w:val="en-US" w:eastAsia="zh-CN"/>
        </w:rPr>
      </w:pPr>
      <w:r>
        <w:rPr>
          <w:rFonts w:hint="eastAsia"/>
          <w:lang w:val="en-US" w:eastAsia="zh-CN"/>
        </w:rPr>
        <w:t>数据中心基础设施效率；</w:t>
      </w:r>
    </w:p>
    <w:p>
      <w:pPr>
        <w:numPr>
          <w:ilvl w:val="0"/>
          <w:numId w:val="4"/>
        </w:numPr>
        <w:bidi w:val="0"/>
        <w:rPr>
          <w:rFonts w:hint="eastAsia"/>
          <w:lang w:val="en-US" w:eastAsia="zh-CN"/>
        </w:rPr>
      </w:pPr>
      <w:r>
        <w:rPr>
          <w:rFonts w:hint="eastAsia"/>
          <w:lang w:val="en-US" w:eastAsia="zh-CN"/>
        </w:rPr>
        <w:t>局部电能利用效率；</w:t>
      </w:r>
    </w:p>
    <w:p>
      <w:pPr>
        <w:numPr>
          <w:ilvl w:val="0"/>
          <w:numId w:val="4"/>
        </w:numPr>
        <w:bidi w:val="0"/>
        <w:rPr>
          <w:rFonts w:hint="eastAsia"/>
          <w:lang w:val="en-US" w:eastAsia="zh-CN"/>
        </w:rPr>
      </w:pPr>
      <w:r>
        <w:rPr>
          <w:rFonts w:hint="eastAsia"/>
          <w:lang w:val="en-US" w:eastAsia="zh-CN"/>
        </w:rPr>
        <w:t>水资源使用效率；</w:t>
      </w:r>
    </w:p>
    <w:p>
      <w:pPr>
        <w:numPr>
          <w:ilvl w:val="0"/>
          <w:numId w:val="4"/>
        </w:numPr>
        <w:bidi w:val="0"/>
        <w:rPr>
          <w:rFonts w:hint="eastAsia"/>
          <w:lang w:val="en-US" w:eastAsia="zh-CN"/>
        </w:rPr>
      </w:pPr>
      <w:r>
        <w:rPr>
          <w:rFonts w:hint="eastAsia"/>
          <w:lang w:val="en-US" w:eastAsia="zh-CN"/>
        </w:rPr>
        <w:t>碳使用效率；</w:t>
      </w:r>
    </w:p>
    <w:p>
      <w:pPr>
        <w:numPr>
          <w:ilvl w:val="0"/>
          <w:numId w:val="4"/>
        </w:numPr>
        <w:bidi w:val="0"/>
        <w:rPr>
          <w:rFonts w:hint="eastAsia"/>
          <w:lang w:val="en-US" w:eastAsia="zh-CN"/>
        </w:rPr>
      </w:pPr>
      <w:r>
        <w:rPr>
          <w:rFonts w:hint="eastAsia"/>
          <w:lang w:val="en-US" w:eastAsia="zh-CN"/>
        </w:rPr>
        <w:t>能源再利用效率；</w:t>
      </w:r>
    </w:p>
    <w:p>
      <w:pPr>
        <w:numPr>
          <w:ilvl w:val="0"/>
          <w:numId w:val="4"/>
        </w:numPr>
        <w:bidi w:val="0"/>
        <w:rPr>
          <w:rFonts w:hint="eastAsia"/>
          <w:lang w:val="en-US" w:eastAsia="zh-CN"/>
        </w:rPr>
      </w:pPr>
      <w:r>
        <w:rPr>
          <w:rFonts w:hint="eastAsia"/>
          <w:lang w:val="en-US" w:eastAsia="zh-CN"/>
        </w:rPr>
        <w:t>IT设备能源利用效率；</w:t>
      </w:r>
    </w:p>
    <w:p>
      <w:pPr>
        <w:numPr>
          <w:ilvl w:val="0"/>
          <w:numId w:val="4"/>
        </w:numPr>
        <w:bidi w:val="0"/>
        <w:rPr>
          <w:rFonts w:hint="default"/>
          <w:lang w:val="en-US" w:eastAsia="zh-CN"/>
        </w:rPr>
      </w:pPr>
      <w:r>
        <w:rPr>
          <w:rFonts w:hint="eastAsia"/>
          <w:lang w:val="en-US" w:eastAsia="zh-CN"/>
        </w:rPr>
        <w:t>IT设备利用率。</w:t>
      </w:r>
    </w:p>
    <w:p>
      <w:pPr>
        <w:pStyle w:val="2"/>
        <w:rPr>
          <w:rFonts w:hint="default"/>
          <w:lang w:val="en-US" w:eastAsia="zh-CN"/>
        </w:rPr>
      </w:pPr>
      <w:r>
        <w:rPr>
          <w:rFonts w:hint="eastAsia"/>
          <w:lang w:val="en-US" w:eastAsia="zh-CN"/>
        </w:rPr>
        <w:t>考虑到数据中心实际运行情况和能耗数据测量的易操作性，选取电能比</w:t>
      </w:r>
      <w:r>
        <w:rPr>
          <w:rFonts w:hint="eastAsia"/>
          <w:color w:val="auto"/>
          <w:lang w:val="en-US" w:eastAsia="zh-CN"/>
        </w:rPr>
        <w:t>、制冷负载因子、供电负载因子等3项能耗指标作为参考。企业在实际开展对标活动时，一般选择</w:t>
      </w:r>
      <w:r>
        <w:rPr>
          <w:rFonts w:hint="eastAsia"/>
          <w:lang w:val="en-US" w:eastAsia="zh-CN"/>
        </w:rPr>
        <w:t>电能比</w:t>
      </w:r>
      <w:r>
        <w:rPr>
          <w:rFonts w:hint="eastAsia"/>
          <w:color w:val="auto"/>
          <w:lang w:val="en-US" w:eastAsia="zh-CN"/>
        </w:rPr>
        <w:t>作为对标的能耗指标。</w:t>
      </w:r>
    </w:p>
    <w:p>
      <w:pPr>
        <w:pStyle w:val="4"/>
        <w:bidi w:val="0"/>
        <w:rPr>
          <w:rFonts w:hint="eastAsia"/>
          <w:lang w:val="en-US" w:eastAsia="zh-CN"/>
        </w:rPr>
      </w:pPr>
      <w:bookmarkStart w:id="14" w:name="_Toc1862"/>
      <w:r>
        <w:rPr>
          <w:rFonts w:hint="eastAsia"/>
          <w:lang w:val="en-US" w:eastAsia="zh-CN"/>
        </w:rPr>
        <w:t>3.3数据中心能耗指标定义与计算</w:t>
      </w:r>
      <w:bookmarkEnd w:id="14"/>
    </w:p>
    <w:p>
      <w:pPr>
        <w:pStyle w:val="5"/>
        <w:bidi w:val="0"/>
        <w:rPr>
          <w:rFonts w:hint="eastAsia"/>
          <w:lang w:val="en-US" w:eastAsia="zh-CN"/>
        </w:rPr>
      </w:pPr>
      <w:r>
        <w:rPr>
          <w:rFonts w:hint="eastAsia"/>
          <w:lang w:val="en-US" w:eastAsia="zh-CN"/>
        </w:rPr>
        <w:t>3.3.1数据中心能耗的测量方法</w:t>
      </w:r>
    </w:p>
    <w:p>
      <w:pPr>
        <w:pStyle w:val="2"/>
        <w:rPr>
          <w:rFonts w:hint="eastAsia"/>
          <w:lang w:val="en-US" w:eastAsia="zh-CN"/>
        </w:rPr>
      </w:pPr>
      <w:r>
        <w:rPr>
          <w:rFonts w:hint="eastAsia"/>
          <w:lang w:val="en-US" w:eastAsia="zh-CN"/>
        </w:rPr>
        <w:t>数据中心能耗的测量方法参照国家标准《数据中心能效限定值及能效等级》（GB40879-2021）相关要求。</w:t>
      </w:r>
    </w:p>
    <w:p>
      <w:pPr>
        <w:pStyle w:val="2"/>
        <w:rPr>
          <w:rFonts w:hint="default"/>
          <w:b/>
          <w:bCs/>
          <w:lang w:val="en-US" w:eastAsia="zh-CN"/>
        </w:rPr>
      </w:pPr>
      <w:r>
        <w:rPr>
          <w:rFonts w:hint="eastAsia"/>
          <w:b/>
          <w:bCs/>
          <w:lang w:val="en-US" w:eastAsia="zh-CN"/>
        </w:rPr>
        <w:t>1.测试条件</w:t>
      </w:r>
    </w:p>
    <w:p>
      <w:pPr>
        <w:pStyle w:val="2"/>
        <w:rPr>
          <w:rFonts w:hint="eastAsia"/>
          <w:b/>
          <w:bCs/>
          <w:lang w:val="en-US" w:eastAsia="zh-CN"/>
        </w:rPr>
      </w:pPr>
      <w:r>
        <w:rPr>
          <w:rFonts w:hint="eastAsia"/>
          <w:b/>
          <w:bCs/>
          <w:lang w:val="en-US" w:eastAsia="zh-CN"/>
        </w:rPr>
        <w:t>（1）测试环境</w:t>
      </w:r>
    </w:p>
    <w:p>
      <w:pPr>
        <w:pStyle w:val="2"/>
        <w:rPr>
          <w:rFonts w:hint="eastAsia"/>
          <w:lang w:val="en-US" w:eastAsia="zh-CN"/>
        </w:rPr>
      </w:pPr>
      <w:r>
        <w:rPr>
          <w:rFonts w:hint="default"/>
          <w:lang w:val="en-US" w:eastAsia="zh-CN"/>
        </w:rPr>
        <w:t>测试时数据中心内温度、相对湿度和照度应符合GB 50174中的相关要求</w:t>
      </w:r>
      <w:r>
        <w:rPr>
          <w:rFonts w:hint="eastAsia"/>
          <w:lang w:val="en-US" w:eastAsia="zh-CN"/>
        </w:rPr>
        <w:t>。</w:t>
      </w:r>
    </w:p>
    <w:p>
      <w:pPr>
        <w:pStyle w:val="2"/>
        <w:rPr>
          <w:rFonts w:hint="eastAsia"/>
          <w:b/>
          <w:bCs/>
          <w:lang w:val="en-US" w:eastAsia="zh-CN"/>
        </w:rPr>
      </w:pPr>
      <w:r>
        <w:rPr>
          <w:rFonts w:hint="eastAsia"/>
          <w:b/>
          <w:bCs/>
          <w:lang w:val="en-US" w:eastAsia="zh-CN"/>
        </w:rPr>
        <w:t>（2）仪器仪表精度</w:t>
      </w:r>
    </w:p>
    <w:p>
      <w:pPr>
        <w:pStyle w:val="2"/>
        <w:rPr>
          <w:rFonts w:hint="eastAsia"/>
          <w:lang w:val="en-US" w:eastAsia="zh-CN"/>
        </w:rPr>
      </w:pPr>
      <w:r>
        <w:rPr>
          <w:rFonts w:hint="eastAsia"/>
          <w:lang w:val="en-US" w:eastAsia="zh-CN"/>
        </w:rPr>
        <w:t>测量仪器仪表的精度或准确度应满足以下要求：</w:t>
      </w:r>
    </w:p>
    <w:p>
      <w:pPr>
        <w:pStyle w:val="2"/>
        <w:rPr>
          <w:rFonts w:hint="eastAsia"/>
          <w:lang w:val="en-US" w:eastAsia="zh-CN"/>
        </w:rPr>
      </w:pPr>
      <w:r>
        <w:rPr>
          <w:rFonts w:hint="eastAsia"/>
          <w:lang w:val="en-US" w:eastAsia="zh-CN"/>
        </w:rPr>
        <w:t>——电能计量仪表：精度为1级；</w:t>
      </w:r>
    </w:p>
    <w:p>
      <w:pPr>
        <w:pStyle w:val="2"/>
        <w:rPr>
          <w:rFonts w:hint="eastAsia"/>
          <w:lang w:val="en-US" w:eastAsia="zh-CN"/>
        </w:rPr>
      </w:pPr>
      <w:r>
        <w:rPr>
          <w:rFonts w:hint="eastAsia"/>
          <w:lang w:val="en-US" w:eastAsia="zh-CN"/>
        </w:rPr>
        <w:t>——电流互感器：0.5级；</w:t>
      </w:r>
    </w:p>
    <w:p>
      <w:pPr>
        <w:pStyle w:val="2"/>
        <w:rPr>
          <w:rFonts w:hint="eastAsia"/>
          <w:lang w:val="en-US" w:eastAsia="zh-CN"/>
        </w:rPr>
      </w:pPr>
      <w:r>
        <w:rPr>
          <w:rFonts w:hint="eastAsia"/>
          <w:lang w:val="en-US" w:eastAsia="zh-CN"/>
        </w:rPr>
        <w:t>——电压互感器：0.5级；</w:t>
      </w:r>
    </w:p>
    <w:p>
      <w:pPr>
        <w:pStyle w:val="2"/>
        <w:rPr>
          <w:rFonts w:hint="eastAsia"/>
          <w:lang w:val="en-US" w:eastAsia="zh-CN"/>
        </w:rPr>
      </w:pPr>
      <w:r>
        <w:rPr>
          <w:rFonts w:hint="eastAsia"/>
          <w:lang w:val="en-US" w:eastAsia="zh-CN"/>
        </w:rPr>
        <w:t>——温度测量仪表：准确度为±0.5℃；</w:t>
      </w:r>
    </w:p>
    <w:p>
      <w:pPr>
        <w:pStyle w:val="2"/>
        <w:rPr>
          <w:rFonts w:hint="eastAsia"/>
          <w:lang w:val="en-US" w:eastAsia="zh-CN"/>
        </w:rPr>
      </w:pPr>
      <w:r>
        <w:rPr>
          <w:rFonts w:hint="eastAsia"/>
          <w:lang w:val="en-US" w:eastAsia="zh-CN"/>
        </w:rPr>
        <w:t>——相对湿度测量仪表：准确度为±5%；</w:t>
      </w:r>
    </w:p>
    <w:p>
      <w:pPr>
        <w:pStyle w:val="2"/>
        <w:rPr>
          <w:rFonts w:hint="eastAsia"/>
          <w:lang w:val="en-US" w:eastAsia="zh-CN"/>
        </w:rPr>
      </w:pPr>
      <w:r>
        <w:rPr>
          <w:rFonts w:hint="eastAsia"/>
          <w:lang w:val="en-US" w:eastAsia="zh-CN"/>
        </w:rPr>
        <w:t>——照度测量仪表：不低于一级，相对示值误差绝对值≤±4%。</w:t>
      </w:r>
    </w:p>
    <w:p>
      <w:pPr>
        <w:pStyle w:val="2"/>
        <w:rPr>
          <w:rFonts w:hint="eastAsia"/>
          <w:b/>
          <w:bCs/>
          <w:lang w:val="en-US" w:eastAsia="zh-CN"/>
        </w:rPr>
      </w:pPr>
      <w:r>
        <w:rPr>
          <w:rFonts w:hint="eastAsia"/>
          <w:b/>
          <w:bCs/>
          <w:lang w:val="en-US" w:eastAsia="zh-CN"/>
        </w:rPr>
        <w:t>2.测试位置</w:t>
      </w:r>
    </w:p>
    <w:p>
      <w:pPr>
        <w:pStyle w:val="2"/>
        <w:rPr>
          <w:rFonts w:hint="eastAsia"/>
          <w:b/>
          <w:bCs/>
          <w:lang w:val="en-US" w:eastAsia="zh-CN"/>
        </w:rPr>
      </w:pPr>
      <w:r>
        <w:rPr>
          <w:rFonts w:hint="eastAsia"/>
          <w:b/>
          <w:bCs/>
          <w:lang w:val="en-US" w:eastAsia="zh-CN"/>
        </w:rPr>
        <w:t>（1）耗电量测量点位置</w:t>
      </w:r>
    </w:p>
    <w:p>
      <w:pPr>
        <w:bidi w:val="0"/>
        <w:rPr>
          <w:rFonts w:hint="default"/>
          <w:lang w:val="en-US" w:eastAsia="zh-CN"/>
        </w:rPr>
      </w:pPr>
      <w:r>
        <w:rPr>
          <w:rFonts w:hint="default"/>
          <w:lang w:val="en-US" w:eastAsia="zh-CN"/>
        </w:rPr>
        <w:t>数据中心应采用测量仪器仪表对耗电量进行计量，数据中心耗电量测量点的设置应参照</w:t>
      </w:r>
      <w:r>
        <w:rPr>
          <w:rFonts w:hint="eastAsia"/>
          <w:lang w:val="en-US" w:eastAsia="zh-CN"/>
        </w:rPr>
        <w:t>图3-2</w:t>
      </w:r>
      <w:r>
        <w:rPr>
          <w:rFonts w:hint="default"/>
          <w:lang w:val="en-US" w:eastAsia="zh-CN"/>
        </w:rPr>
        <w:t>中各测量点的位置要求。所安装测量仪器仪表的位置应便于对数据中心进行耗电量数据的采集和管理，应便于获取数据中心电能比所需的统计数据。</w:t>
      </w:r>
    </w:p>
    <w:p>
      <w:pPr>
        <w:bidi w:val="0"/>
        <w:rPr>
          <w:rFonts w:hint="default"/>
          <w:color w:val="auto"/>
          <w:lang w:val="en-US" w:eastAsia="zh-CN"/>
        </w:rPr>
      </w:pPr>
      <w:r>
        <w:rPr>
          <w:rFonts w:hint="default"/>
          <w:lang w:val="en-US" w:eastAsia="zh-CN"/>
        </w:rPr>
        <w:t>数据中心总耗电量的测量点应取电能输入变压器</w:t>
      </w:r>
      <w:r>
        <w:rPr>
          <w:rFonts w:hint="default"/>
          <w:color w:val="auto"/>
          <w:lang w:val="en-US" w:eastAsia="zh-CN"/>
        </w:rPr>
        <w:t>之前，即</w:t>
      </w:r>
      <w:r>
        <w:rPr>
          <w:rFonts w:hint="eastAsia"/>
          <w:color w:val="auto"/>
          <w:lang w:val="en-US" w:eastAsia="zh-CN"/>
        </w:rPr>
        <w:t>图3-2</w:t>
      </w:r>
      <w:r>
        <w:rPr>
          <w:rFonts w:hint="default"/>
          <w:color w:val="auto"/>
          <w:lang w:val="en-US" w:eastAsia="zh-CN"/>
        </w:rPr>
        <w:t>中的测量点1和测量点2电能消耗之和。</w:t>
      </w:r>
    </w:p>
    <w:p>
      <w:pPr>
        <w:bidi w:val="0"/>
        <w:rPr>
          <w:rFonts w:hint="default"/>
          <w:lang w:val="en-US" w:eastAsia="zh-CN"/>
        </w:rPr>
      </w:pPr>
      <w:r>
        <w:rPr>
          <w:rFonts w:hint="default"/>
          <w:lang w:val="en-US" w:eastAsia="zh-CN"/>
        </w:rPr>
        <w:t>为数据中心信息设备服务的冷却系统、照明系统及监控系统等辅助建筑及配套设备应做电能计量，其电能测量点应设置于配电系统中相应的各个回路。汇总表示为测量点3、4、5，可用于分析各部分耗电情况。</w:t>
      </w:r>
    </w:p>
    <w:p>
      <w:pPr>
        <w:bidi w:val="0"/>
        <w:rPr>
          <w:rFonts w:hint="eastAsia"/>
          <w:lang w:val="en-US" w:eastAsia="zh-CN"/>
        </w:rPr>
      </w:pPr>
      <w:r>
        <w:rPr>
          <w:rFonts w:hint="eastAsia"/>
          <w:lang w:val="en-US" w:eastAsia="zh-CN"/>
        </w:rPr>
        <w:t>数据中心信息设备耗电量为各类信息设备用电量的总和，测量要求如下：</w:t>
      </w:r>
    </w:p>
    <w:p>
      <w:pPr>
        <w:numPr>
          <w:ilvl w:val="0"/>
          <w:numId w:val="5"/>
        </w:numPr>
        <w:bidi w:val="0"/>
        <w:ind w:left="825" w:leftChars="0" w:hanging="265" w:firstLineChars="0"/>
        <w:rPr>
          <w:rFonts w:hint="eastAsia"/>
          <w:lang w:val="en-US" w:eastAsia="zh-CN"/>
        </w:rPr>
      </w:pPr>
      <w:r>
        <w:rPr>
          <w:rFonts w:hint="eastAsia"/>
          <w:lang w:val="en-US" w:eastAsia="zh-CN"/>
        </w:rPr>
        <w:t>当列头柜无隔离变压器时，数据中心信息设备耗电量的测量位置为不间断电源（例如UPS、HVDC等）输出端供电回路，即图3-2中的测量点6。</w:t>
      </w:r>
    </w:p>
    <w:p>
      <w:pPr>
        <w:numPr>
          <w:ilvl w:val="0"/>
          <w:numId w:val="5"/>
        </w:numPr>
        <w:bidi w:val="0"/>
        <w:ind w:left="825" w:leftChars="0" w:hanging="265" w:firstLineChars="0"/>
        <w:rPr>
          <w:rFonts w:hint="eastAsia"/>
          <w:lang w:val="en-US" w:eastAsia="zh-CN"/>
        </w:rPr>
      </w:pPr>
      <w:r>
        <w:rPr>
          <w:rFonts w:hint="eastAsia"/>
          <w:lang w:val="en-US" w:eastAsia="zh-CN"/>
        </w:rPr>
        <w:t>当列头柜带隔离变压器时，数据中心信息设备耗电量的测量位置应为列头柜输出端供电回路，即图3-2中的测量点7。</w:t>
      </w:r>
    </w:p>
    <w:p>
      <w:pPr>
        <w:numPr>
          <w:ilvl w:val="0"/>
          <w:numId w:val="5"/>
        </w:numPr>
        <w:bidi w:val="0"/>
        <w:ind w:left="825" w:leftChars="0" w:hanging="265" w:firstLineChars="0"/>
        <w:rPr>
          <w:rFonts w:hint="eastAsia"/>
          <w:lang w:val="en-US" w:eastAsia="zh-CN"/>
        </w:rPr>
      </w:pPr>
      <w:r>
        <w:rPr>
          <w:rFonts w:hint="eastAsia"/>
          <w:lang w:val="en-US" w:eastAsia="zh-CN"/>
        </w:rPr>
        <w:t>当采用机柜风扇作为辅助降温时，数据中心信息设备耗电量的测量位置应为信息设备负载供电回路，即图3-2中的测量点8。</w:t>
      </w:r>
    </w:p>
    <w:p>
      <w:pPr>
        <w:pStyle w:val="17"/>
        <w:bidi w:val="0"/>
        <w:rPr>
          <w:rFonts w:hint="eastAsia"/>
          <w:lang w:val="en-US" w:eastAsia="zh-CN"/>
        </w:rPr>
      </w:pPr>
      <w:r>
        <w:drawing>
          <wp:inline distT="0" distB="0" distL="114300" distR="114300">
            <wp:extent cx="5511800" cy="2615565"/>
            <wp:effectExtent l="0" t="0" r="0" b="635"/>
            <wp:docPr id="4" name="图片 1" descr="1611818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11818576(1)"/>
                    <pic:cNvPicPr>
                      <a:picLocks noChangeAspect="1"/>
                    </pic:cNvPicPr>
                  </pic:nvPicPr>
                  <pic:blipFill>
                    <a:blip r:embed="rId12"/>
                    <a:stretch>
                      <a:fillRect/>
                    </a:stretch>
                  </pic:blipFill>
                  <pic:spPr>
                    <a:xfrm>
                      <a:off x="0" y="0"/>
                      <a:ext cx="5511800" cy="2615565"/>
                    </a:xfrm>
                    <a:prstGeom prst="rect">
                      <a:avLst/>
                    </a:prstGeom>
                    <a:noFill/>
                    <a:ln>
                      <a:noFill/>
                    </a:ln>
                  </pic:spPr>
                </pic:pic>
              </a:graphicData>
            </a:graphic>
          </wp:inline>
        </w:drawing>
      </w:r>
    </w:p>
    <w:p>
      <w:pPr>
        <w:pStyle w:val="19"/>
        <w:bidi w:val="0"/>
        <w:rPr>
          <w:rFonts w:hint="eastAsia"/>
          <w:lang w:val="en-US" w:eastAsia="zh-CN"/>
        </w:rPr>
      </w:pPr>
      <w:r>
        <w:rPr>
          <w:rFonts w:hint="eastAsia"/>
          <w:lang w:val="en-US" w:eastAsia="zh-CN"/>
        </w:rPr>
        <w:t>图3-3 数据中心耗电量测量点示意图</w:t>
      </w:r>
    </w:p>
    <w:p>
      <w:pPr>
        <w:bidi w:val="0"/>
        <w:rPr>
          <w:rFonts w:hint="eastAsia"/>
          <w:b/>
          <w:bCs/>
          <w:lang w:val="en-US" w:eastAsia="zh-CN"/>
        </w:rPr>
      </w:pPr>
      <w:r>
        <w:rPr>
          <w:rFonts w:hint="eastAsia"/>
          <w:b/>
          <w:bCs/>
          <w:lang w:val="en-US" w:eastAsia="zh-CN"/>
        </w:rPr>
        <w:t>（2）温度、相对湿度测量点位置</w:t>
      </w:r>
    </w:p>
    <w:p>
      <w:pPr>
        <w:pStyle w:val="2"/>
        <w:rPr>
          <w:rFonts w:hint="eastAsia"/>
          <w:lang w:val="en-US" w:eastAsia="zh-CN"/>
        </w:rPr>
      </w:pPr>
      <w:r>
        <w:rPr>
          <w:rFonts w:hint="eastAsia"/>
          <w:lang w:val="en-US" w:eastAsia="zh-CN"/>
        </w:rPr>
        <w:t>1）数据中心室内测量点位置</w:t>
      </w:r>
    </w:p>
    <w:p>
      <w:pPr>
        <w:pStyle w:val="2"/>
        <w:rPr>
          <w:rFonts w:hint="eastAsia"/>
          <w:lang w:val="en-US" w:eastAsia="zh-CN"/>
        </w:rPr>
      </w:pPr>
      <w:r>
        <w:rPr>
          <w:rFonts w:hint="eastAsia"/>
          <w:lang w:val="en-US" w:eastAsia="zh-CN"/>
        </w:rPr>
        <w:t>湿度和照度测量点位置应按照GB 50462中的相关要求选择。</w:t>
      </w:r>
    </w:p>
    <w:p>
      <w:pPr>
        <w:pStyle w:val="2"/>
        <w:rPr>
          <w:rFonts w:hint="eastAsia"/>
          <w:lang w:val="en-US" w:eastAsia="zh-CN"/>
        </w:rPr>
      </w:pPr>
      <w:r>
        <w:rPr>
          <w:rFonts w:hint="eastAsia"/>
          <w:lang w:val="en-US" w:eastAsia="zh-CN"/>
        </w:rPr>
        <w:t>2）数据中心室外测量点位置</w:t>
      </w:r>
    </w:p>
    <w:p>
      <w:pPr>
        <w:pStyle w:val="2"/>
        <w:rPr>
          <w:rFonts w:hint="default"/>
          <w:lang w:val="en-US" w:eastAsia="zh-CN"/>
        </w:rPr>
      </w:pPr>
      <w:r>
        <w:rPr>
          <w:rFonts w:hint="default"/>
          <w:lang w:val="en-US" w:eastAsia="zh-CN"/>
        </w:rPr>
        <w:t>数据中心室外的温度测量点位置选择距影响冷却系统性能设备的迎风面1米的中心点位置，多个迎风面的室外温度为各中心测量点的平均值，同时应避免冷却设备对温度测量的影响。</w:t>
      </w:r>
    </w:p>
    <w:p>
      <w:pPr>
        <w:pStyle w:val="5"/>
        <w:bidi w:val="0"/>
        <w:ind w:firstLine="420" w:firstLineChars="0"/>
        <w:rPr>
          <w:rFonts w:hint="eastAsia"/>
          <w:color w:val="auto"/>
          <w:lang w:val="en-US" w:eastAsia="zh-CN"/>
        </w:rPr>
      </w:pPr>
      <w:r>
        <w:rPr>
          <w:rStyle w:val="20"/>
          <w:rFonts w:hint="eastAsia"/>
          <w:b/>
          <w:color w:val="auto"/>
          <w:lang w:val="en-US" w:eastAsia="zh-CN"/>
        </w:rPr>
        <w:t>3.3.2电能比</w:t>
      </w:r>
    </w:p>
    <w:p>
      <w:pPr>
        <w:rPr>
          <w:rFonts w:hint="eastAsia"/>
          <w:b/>
          <w:bCs/>
          <w:lang w:val="en-US" w:eastAsia="zh-CN"/>
        </w:rPr>
      </w:pPr>
      <w:r>
        <w:rPr>
          <w:rFonts w:hint="eastAsia"/>
          <w:b/>
          <w:bCs/>
          <w:lang w:val="en-US" w:eastAsia="zh-CN"/>
        </w:rPr>
        <w:t>1.定义</w:t>
      </w:r>
    </w:p>
    <w:p>
      <w:pPr>
        <w:pStyle w:val="2"/>
        <w:rPr>
          <w:rFonts w:hint="default"/>
          <w:lang w:val="en-US" w:eastAsia="zh-CN"/>
        </w:rPr>
      </w:pPr>
      <w:r>
        <w:rPr>
          <w:rFonts w:hint="default"/>
          <w:lang w:val="en-US" w:eastAsia="zh-CN"/>
        </w:rPr>
        <w:t>数据中心电能比</w:t>
      </w:r>
      <w:r>
        <w:rPr>
          <w:rStyle w:val="15"/>
          <w:rFonts w:hint="default"/>
          <w:lang w:val="en-US" w:eastAsia="zh-CN"/>
        </w:rPr>
        <w:footnoteReference w:id="2"/>
      </w:r>
      <w:r>
        <w:rPr>
          <w:rFonts w:hint="default"/>
          <w:lang w:val="en-US" w:eastAsia="zh-CN"/>
        </w:rPr>
        <w:t>，即数据中心电能利用效率，是指统计期内，数据中心在信息设备实际运行负载下，数据中心总耗电量与信息设备耗电量的比值。</w:t>
      </w:r>
    </w:p>
    <w:p>
      <w:pPr>
        <w:pStyle w:val="2"/>
        <w:rPr>
          <w:rFonts w:hint="eastAsia"/>
          <w:b/>
          <w:bCs/>
          <w:lang w:val="en-US" w:eastAsia="zh-CN"/>
        </w:rPr>
      </w:pPr>
      <w:r>
        <w:rPr>
          <w:rFonts w:hint="eastAsia"/>
          <w:b/>
          <w:bCs/>
          <w:lang w:val="en-US" w:eastAsia="zh-CN"/>
        </w:rPr>
        <w:t>2.计算方法</w:t>
      </w:r>
    </w:p>
    <w:p>
      <w:pPr>
        <w:pStyle w:val="2"/>
        <w:rPr>
          <w:rFonts w:hint="eastAsia"/>
          <w:b/>
          <w:bCs/>
          <w:lang w:val="en-US" w:eastAsia="zh-CN"/>
        </w:rPr>
      </w:pPr>
      <w:r>
        <w:rPr>
          <w:rFonts w:hint="eastAsia"/>
          <w:b/>
          <w:bCs/>
          <w:lang w:val="en-US" w:eastAsia="zh-CN"/>
        </w:rPr>
        <w:t>（1）数据中心电能比设计值</w:t>
      </w:r>
    </w:p>
    <w:p>
      <w:pPr>
        <w:bidi w:val="0"/>
      </w:pPr>
      <w:r>
        <w:rPr>
          <w:rFonts w:ascii="Times New Roman"/>
          <w:kern w:val="2"/>
          <w:szCs w:val="21"/>
        </w:rPr>
        <w:t>数据中心</w:t>
      </w:r>
      <w:r>
        <w:rPr>
          <w:rFonts w:hint="eastAsia"/>
        </w:rPr>
        <w:t>电能比设计值按照公式</w:t>
      </w:r>
      <w:r>
        <w:rPr>
          <w:rFonts w:hint="eastAsia"/>
          <w:lang w:eastAsia="zh-CN"/>
        </w:rPr>
        <w:t>（</w:t>
      </w:r>
      <w:r>
        <w:rPr>
          <w:rFonts w:hint="eastAsia"/>
          <w:lang w:val="en-US" w:eastAsia="zh-CN"/>
        </w:rPr>
        <w:t>1</w:t>
      </w:r>
      <w:r>
        <w:rPr>
          <w:rFonts w:hint="eastAsia"/>
          <w:lang w:eastAsia="zh-CN"/>
        </w:rPr>
        <w:t>）</w:t>
      </w:r>
      <w:r>
        <w:rPr>
          <w:rFonts w:hint="eastAsia"/>
        </w:rPr>
        <w:t>计算</w:t>
      </w:r>
    </w:p>
    <w:p>
      <w:pPr>
        <w:pStyle w:val="17"/>
        <w:bidi w:val="0"/>
        <w:jc w:val="right"/>
        <w:rPr>
          <w:rStyle w:val="27"/>
          <w:rFonts w:hint="default"/>
          <w:lang w:val="en-US" w:eastAsia="zh-CN"/>
        </w:rPr>
      </w:pPr>
      <w:r>
        <w:rPr>
          <w:rFonts w:hint="eastAsia"/>
          <w:position w:val="-30"/>
        </w:rPr>
        <w:object>
          <v:shape id="_x0000_i1025" o:spt="75" type="#_x0000_t75" style="height:33.3pt;width:52.3pt;" o:ole="t" filled="f" o:preferrelative="t" stroked="f" coordsize="21600,21600">
            <v:path/>
            <v:fill on="f" focussize="0,0"/>
            <v:stroke on="f"/>
            <v:imagedata r:id="rId14" o:title=""/>
            <o:lock v:ext="edit" aspectratio="t"/>
            <w10:wrap type="none"/>
            <w10:anchorlock/>
          </v:shape>
          <o:OLEObject Type="Embed" ProgID="Equation.KSEE3" ShapeID="_x0000_i1025" DrawAspect="Content" ObjectID="_1468075725" r:id="rId13">
            <o:LockedField>false</o:LockedField>
          </o:OLEObject>
        </w:object>
      </w:r>
      <w:r>
        <w:rPr>
          <w:rStyle w:val="27"/>
          <w:rFonts w:hint="eastAsia" w:ascii="微软雅黑" w:hAnsi="微软雅黑" w:eastAsia="微软雅黑" w:cs="微软雅黑"/>
          <w:lang w:val="en-US" w:eastAsia="zh-CN"/>
        </w:rPr>
        <w:t>························································</w:t>
      </w:r>
      <w:r>
        <w:rPr>
          <w:rStyle w:val="27"/>
          <w:rFonts w:hint="eastAsia"/>
          <w:lang w:val="en-US" w:eastAsia="zh-CN"/>
        </w:rPr>
        <w:t>（1）</w:t>
      </w:r>
    </w:p>
    <w:p>
      <w:pPr>
        <w:bidi w:val="0"/>
        <w:rPr>
          <w:rFonts w:hint="eastAsia"/>
        </w:rPr>
      </w:pPr>
      <w:r>
        <w:rPr>
          <w:rFonts w:hint="eastAsia"/>
        </w:rPr>
        <w:t>式中：</w:t>
      </w:r>
    </w:p>
    <w:p>
      <w:pPr>
        <w:bidi w:val="0"/>
        <w:ind w:left="0" w:leftChars="0" w:firstLine="960" w:firstLineChars="400"/>
        <w:rPr>
          <w:rFonts w:hint="eastAsia"/>
          <w:sz w:val="24"/>
          <w:szCs w:val="22"/>
        </w:rPr>
      </w:pPr>
      <w:r>
        <w:rPr>
          <w:rFonts w:hint="eastAsia"/>
          <w:sz w:val="24"/>
          <w:szCs w:val="22"/>
          <w:lang w:val="en-US" w:eastAsia="zh-CN"/>
        </w:rPr>
        <w:t>R</w:t>
      </w:r>
      <w:r>
        <w:rPr>
          <w:rFonts w:hint="eastAsia"/>
          <w:sz w:val="24"/>
          <w:szCs w:val="22"/>
          <w:vertAlign w:val="subscript"/>
        </w:rPr>
        <w:t>D</w:t>
      </w:r>
      <w:r>
        <w:rPr>
          <w:rFonts w:hint="eastAsia"/>
          <w:sz w:val="24"/>
          <w:szCs w:val="22"/>
        </w:rPr>
        <w:t>——数据中心电能比设计值，无因次；</w:t>
      </w:r>
    </w:p>
    <w:p>
      <w:pPr>
        <w:bidi w:val="0"/>
        <w:ind w:left="0" w:leftChars="0" w:firstLine="960" w:firstLineChars="400"/>
        <w:rPr>
          <w:rFonts w:hint="eastAsia"/>
          <w:sz w:val="24"/>
          <w:szCs w:val="22"/>
        </w:rPr>
      </w:pPr>
      <w:r>
        <w:rPr>
          <w:rFonts w:hint="eastAsia"/>
          <w:sz w:val="24"/>
          <w:szCs w:val="22"/>
        </w:rPr>
        <w:t>E</w:t>
      </w:r>
      <w:r>
        <w:rPr>
          <w:rFonts w:hint="eastAsia"/>
          <w:sz w:val="24"/>
          <w:szCs w:val="22"/>
          <w:vertAlign w:val="subscript"/>
        </w:rPr>
        <w:t>D</w:t>
      </w:r>
      <w:r>
        <w:rPr>
          <w:rFonts w:hint="eastAsia"/>
          <w:sz w:val="24"/>
          <w:szCs w:val="22"/>
        </w:rPr>
        <w:t>——总耗电量的规划设计值，单位为千瓦时（kW·h）；</w:t>
      </w:r>
    </w:p>
    <w:p>
      <w:pPr>
        <w:bidi w:val="0"/>
        <w:ind w:left="0" w:leftChars="0" w:firstLine="960" w:firstLineChars="400"/>
        <w:rPr>
          <w:rFonts w:hint="eastAsia"/>
          <w:sz w:val="24"/>
          <w:szCs w:val="22"/>
        </w:rPr>
      </w:pPr>
      <w:r>
        <w:rPr>
          <w:rFonts w:hint="eastAsia"/>
          <w:sz w:val="24"/>
          <w:szCs w:val="22"/>
        </w:rPr>
        <w:t>E</w:t>
      </w:r>
      <w:r>
        <w:rPr>
          <w:rFonts w:hint="eastAsia"/>
          <w:sz w:val="24"/>
          <w:szCs w:val="22"/>
          <w:vertAlign w:val="subscript"/>
        </w:rPr>
        <w:t>DIT</w:t>
      </w:r>
      <w:r>
        <w:rPr>
          <w:rFonts w:hint="eastAsia"/>
          <w:sz w:val="24"/>
          <w:szCs w:val="22"/>
        </w:rPr>
        <w:t>——信息设备耗电量的规划设计值，单位为千瓦时（kW·h）。</w:t>
      </w:r>
    </w:p>
    <w:p>
      <w:pPr>
        <w:pStyle w:val="2"/>
        <w:rPr>
          <w:rFonts w:hint="default"/>
          <w:b w:val="0"/>
          <w:bCs w:val="0"/>
          <w:lang w:val="en-US" w:eastAsia="zh-CN"/>
        </w:rPr>
      </w:pPr>
      <w:r>
        <w:rPr>
          <w:rFonts w:hint="eastAsia"/>
          <w:b/>
          <w:bCs/>
          <w:lang w:val="en-US" w:eastAsia="zh-CN"/>
        </w:rPr>
        <w:t>（2）数据中心电能比测算方法</w:t>
      </w:r>
    </w:p>
    <w:p>
      <w:pPr>
        <w:pStyle w:val="2"/>
        <w:rPr>
          <w:rFonts w:hint="default"/>
          <w:b w:val="0"/>
          <w:bCs w:val="0"/>
          <w:lang w:val="en-US" w:eastAsia="zh-CN"/>
        </w:rPr>
      </w:pPr>
      <w:r>
        <w:rPr>
          <w:rFonts w:hint="default"/>
          <w:b w:val="0"/>
          <w:bCs w:val="0"/>
          <w:lang w:val="en-US" w:eastAsia="zh-CN"/>
        </w:rPr>
        <w:t>数据中心电能比数值测试方法按以下规定进行：</w:t>
      </w:r>
    </w:p>
    <w:p>
      <w:pPr>
        <w:pStyle w:val="2"/>
        <w:numPr>
          <w:ilvl w:val="1"/>
          <w:numId w:val="6"/>
        </w:numPr>
        <w:ind w:left="840" w:leftChars="0" w:hanging="420" w:firstLineChars="0"/>
        <w:rPr>
          <w:rFonts w:hint="default"/>
          <w:b w:val="0"/>
          <w:bCs w:val="0"/>
          <w:lang w:val="en-US" w:eastAsia="zh-CN"/>
        </w:rPr>
      </w:pPr>
      <w:r>
        <w:rPr>
          <w:rFonts w:hint="default"/>
          <w:b w:val="0"/>
          <w:bCs w:val="0"/>
          <w:lang w:val="en-US" w:eastAsia="zh-CN"/>
        </w:rPr>
        <w:t>在数据中心实际运行负载条件下，在一年内选取若干不同时段，该时段应至少包含1个</w:t>
      </w:r>
      <w:r>
        <w:rPr>
          <w:rFonts w:hint="default"/>
          <w:b w:val="0"/>
          <w:bCs w:val="0"/>
          <w:color w:val="auto"/>
          <w:lang w:val="en-US" w:eastAsia="zh-CN"/>
        </w:rPr>
        <w:t>表</w:t>
      </w:r>
      <w:r>
        <w:rPr>
          <w:rFonts w:hint="eastAsia"/>
          <w:b w:val="0"/>
          <w:bCs w:val="0"/>
          <w:color w:val="auto"/>
          <w:lang w:val="en-US" w:eastAsia="zh-CN"/>
        </w:rPr>
        <w:t>3-1</w:t>
      </w:r>
      <w:r>
        <w:rPr>
          <w:rFonts w:hint="default"/>
          <w:b w:val="0"/>
          <w:bCs w:val="0"/>
          <w:color w:val="auto"/>
          <w:lang w:val="en-US" w:eastAsia="zh-CN"/>
        </w:rPr>
        <w:t>所规定</w:t>
      </w:r>
      <w:r>
        <w:rPr>
          <w:rFonts w:hint="default"/>
          <w:b w:val="0"/>
          <w:bCs w:val="0"/>
          <w:lang w:val="en-US" w:eastAsia="zh-CN"/>
        </w:rPr>
        <w:t>的a~e特性工况点，分别连续测量数据中心总功率和信息设备功率。在制冷和信息系统稳定状态下，连续测量不小于2小时，其间多次测量的时间间隔不应大于2分钟。测试期间，所测数据中心服务器数量以及冷却和配电等基础设施设备不得做变更，制冷模式不做切换。</w:t>
      </w:r>
    </w:p>
    <w:p>
      <w:pPr>
        <w:pStyle w:val="2"/>
        <w:numPr>
          <w:ilvl w:val="1"/>
          <w:numId w:val="6"/>
        </w:numPr>
        <w:ind w:left="840" w:leftChars="0" w:hanging="420" w:firstLineChars="0"/>
        <w:rPr>
          <w:rFonts w:hint="default"/>
          <w:b w:val="0"/>
          <w:bCs w:val="0"/>
          <w:lang w:val="en-US" w:eastAsia="zh-CN"/>
        </w:rPr>
      </w:pPr>
      <w:r>
        <w:rPr>
          <w:rFonts w:hint="default"/>
          <w:b w:val="0"/>
          <w:bCs w:val="0"/>
          <w:lang w:val="en-US" w:eastAsia="zh-CN"/>
        </w:rPr>
        <w:t>选取稳定在a~e工况±2℃范围内测试条件下测得的功率为有效数据，对总功率和信息设备功率有效数据分别进行算数平</w:t>
      </w:r>
      <w:r>
        <w:rPr>
          <w:rFonts w:hint="default"/>
          <w:b w:val="0"/>
          <w:bCs w:val="0"/>
          <w:color w:val="auto"/>
          <w:lang w:val="en-US" w:eastAsia="zh-CN"/>
        </w:rPr>
        <w:t>均，得到该工况点对应功率值。测算值测量和计算示例见附录B</w:t>
      </w:r>
      <w:r>
        <w:rPr>
          <w:rFonts w:hint="default"/>
          <w:b w:val="0"/>
          <w:bCs w:val="0"/>
          <w:lang w:val="en-US" w:eastAsia="zh-CN"/>
        </w:rPr>
        <w:t>。</w:t>
      </w:r>
    </w:p>
    <w:p>
      <w:pPr>
        <w:pStyle w:val="2"/>
        <w:widowControl w:val="0"/>
        <w:numPr>
          <w:ilvl w:val="0"/>
          <w:numId w:val="0"/>
        </w:numPr>
        <w:tabs>
          <w:tab w:val="left" w:pos="840"/>
        </w:tabs>
        <w:spacing w:after="100" w:afterLines="0" w:afterAutospacing="0" w:line="560" w:lineRule="exact"/>
        <w:jc w:val="both"/>
        <w:rPr>
          <w:rFonts w:hint="default"/>
          <w:b w:val="0"/>
          <w:bCs w:val="0"/>
          <w:lang w:val="en-US" w:eastAsia="zh-CN"/>
        </w:rPr>
      </w:pPr>
    </w:p>
    <w:p>
      <w:pPr>
        <w:pStyle w:val="2"/>
        <w:widowControl w:val="0"/>
        <w:numPr>
          <w:ilvl w:val="0"/>
          <w:numId w:val="0"/>
        </w:numPr>
        <w:tabs>
          <w:tab w:val="left" w:pos="840"/>
        </w:tabs>
        <w:spacing w:after="100" w:afterLines="0" w:afterAutospacing="0" w:line="560" w:lineRule="exact"/>
        <w:jc w:val="both"/>
        <w:rPr>
          <w:rFonts w:hint="default"/>
          <w:b w:val="0"/>
          <w:bCs w:val="0"/>
          <w:lang w:val="en-US" w:eastAsia="zh-CN"/>
        </w:rPr>
      </w:pPr>
    </w:p>
    <w:p>
      <w:pPr>
        <w:pStyle w:val="19"/>
        <w:bidi w:val="0"/>
        <w:rPr>
          <w:rFonts w:hint="default"/>
          <w:lang w:val="en-US" w:eastAsia="zh-CN"/>
        </w:rPr>
      </w:pPr>
      <w:r>
        <w:rPr>
          <w:rFonts w:hint="eastAsia"/>
          <w:lang w:val="en-US" w:eastAsia="zh-CN"/>
        </w:rPr>
        <w:t>表3-1  数据中心电能比测试工况</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91"/>
        <w:gridCol w:w="1192"/>
        <w:gridCol w:w="1191"/>
        <w:gridCol w:w="1192"/>
        <w:gridCol w:w="1192"/>
        <w:gridCol w:w="1179"/>
        <w:gridCol w:w="11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665" w:type="dxa"/>
            <w:gridSpan w:val="2"/>
            <w:tcBorders>
              <w:top w:val="single" w:color="auto" w:sz="8" w:space="0"/>
              <w:bottom w:val="single" w:color="auto" w:sz="8" w:space="0"/>
            </w:tcBorders>
            <w:noWrap w:val="0"/>
            <w:vAlign w:val="center"/>
          </w:tcPr>
          <w:p>
            <w:pPr>
              <w:pStyle w:val="17"/>
              <w:bidi w:val="0"/>
            </w:pPr>
            <w:r>
              <w:rPr>
                <w:rFonts w:hint="eastAsia"/>
              </w:rPr>
              <w:t>特性工况</w:t>
            </w:r>
            <w:r>
              <w:t>点</w:t>
            </w:r>
          </w:p>
        </w:tc>
        <w:tc>
          <w:tcPr>
            <w:tcW w:w="1333" w:type="dxa"/>
            <w:tcBorders>
              <w:top w:val="single" w:color="auto" w:sz="8" w:space="0"/>
              <w:bottom w:val="single" w:color="auto" w:sz="8" w:space="0"/>
            </w:tcBorders>
            <w:noWrap w:val="0"/>
            <w:vAlign w:val="center"/>
          </w:tcPr>
          <w:p>
            <w:pPr>
              <w:pStyle w:val="17"/>
              <w:bidi w:val="0"/>
            </w:pPr>
            <w:r>
              <w:t>a</w:t>
            </w:r>
          </w:p>
        </w:tc>
        <w:tc>
          <w:tcPr>
            <w:tcW w:w="1334" w:type="dxa"/>
            <w:tcBorders>
              <w:top w:val="single" w:color="auto" w:sz="8" w:space="0"/>
              <w:bottom w:val="single" w:color="auto" w:sz="8" w:space="0"/>
            </w:tcBorders>
            <w:noWrap w:val="0"/>
            <w:vAlign w:val="center"/>
          </w:tcPr>
          <w:p>
            <w:pPr>
              <w:pStyle w:val="17"/>
              <w:bidi w:val="0"/>
            </w:pPr>
            <w:r>
              <w:t>b</w:t>
            </w:r>
          </w:p>
        </w:tc>
        <w:tc>
          <w:tcPr>
            <w:tcW w:w="1334" w:type="dxa"/>
            <w:tcBorders>
              <w:top w:val="single" w:color="auto" w:sz="8" w:space="0"/>
              <w:bottom w:val="single" w:color="auto" w:sz="8" w:space="0"/>
            </w:tcBorders>
            <w:noWrap w:val="0"/>
            <w:vAlign w:val="center"/>
          </w:tcPr>
          <w:p>
            <w:pPr>
              <w:pStyle w:val="17"/>
              <w:bidi w:val="0"/>
            </w:pPr>
            <w:r>
              <w:t>c</w:t>
            </w:r>
          </w:p>
        </w:tc>
        <w:tc>
          <w:tcPr>
            <w:tcW w:w="1334" w:type="dxa"/>
            <w:tcBorders>
              <w:top w:val="single" w:color="auto" w:sz="8" w:space="0"/>
              <w:bottom w:val="single" w:color="auto" w:sz="8" w:space="0"/>
            </w:tcBorders>
            <w:noWrap w:val="0"/>
            <w:vAlign w:val="center"/>
          </w:tcPr>
          <w:p>
            <w:pPr>
              <w:pStyle w:val="17"/>
              <w:bidi w:val="0"/>
            </w:pPr>
            <w:r>
              <w:t>d</w:t>
            </w:r>
          </w:p>
        </w:tc>
        <w:tc>
          <w:tcPr>
            <w:tcW w:w="1334" w:type="dxa"/>
            <w:tcBorders>
              <w:top w:val="single" w:color="auto" w:sz="8" w:space="0"/>
              <w:bottom w:val="single" w:color="auto" w:sz="8" w:space="0"/>
            </w:tcBorders>
            <w:noWrap w:val="0"/>
            <w:vAlign w:val="center"/>
          </w:tcPr>
          <w:p>
            <w:pPr>
              <w:pStyle w:val="17"/>
              <w:bidi w:val="0"/>
            </w:pPr>
            <w:r>
              <w: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tcBorders>
              <w:top w:val="single" w:color="auto" w:sz="8" w:space="0"/>
            </w:tcBorders>
            <w:noWrap w:val="0"/>
            <w:vAlign w:val="center"/>
          </w:tcPr>
          <w:p>
            <w:pPr>
              <w:pStyle w:val="17"/>
              <w:bidi w:val="0"/>
            </w:pPr>
            <w:r>
              <w:rPr>
                <w:rFonts w:hint="eastAsia"/>
              </w:rPr>
              <w:t>数据中心内侧</w:t>
            </w:r>
          </w:p>
        </w:tc>
        <w:tc>
          <w:tcPr>
            <w:tcW w:w="1333" w:type="dxa"/>
            <w:tcBorders>
              <w:top w:val="single" w:color="auto" w:sz="8" w:space="0"/>
            </w:tcBorders>
            <w:noWrap w:val="0"/>
            <w:vAlign w:val="center"/>
          </w:tcPr>
          <w:p>
            <w:pPr>
              <w:pStyle w:val="17"/>
              <w:bidi w:val="0"/>
            </w:pPr>
            <w:r>
              <w:t>干球温度</w:t>
            </w:r>
          </w:p>
          <w:p>
            <w:pPr>
              <w:pStyle w:val="17"/>
              <w:bidi w:val="0"/>
            </w:pPr>
            <w:r>
              <w:t>℃</w:t>
            </w:r>
          </w:p>
        </w:tc>
        <w:tc>
          <w:tcPr>
            <w:tcW w:w="6669" w:type="dxa"/>
            <w:gridSpan w:val="5"/>
            <w:tcBorders>
              <w:top w:val="single" w:color="auto" w:sz="8" w:space="0"/>
            </w:tcBorders>
            <w:noWrap w:val="0"/>
            <w:vAlign w:val="center"/>
          </w:tcPr>
          <w:p>
            <w:pPr>
              <w:pStyle w:val="17"/>
              <w:bidi w:val="0"/>
            </w:pPr>
            <w:r>
              <w:rPr>
                <w:rFonts w:hint="eastAsia"/>
              </w:rPr>
              <w:t>1</w:t>
            </w:r>
            <w:r>
              <w:t>8-27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noWrap w:val="0"/>
            <w:vAlign w:val="center"/>
          </w:tcPr>
          <w:p>
            <w:pPr>
              <w:pStyle w:val="17"/>
              <w:bidi w:val="0"/>
            </w:pPr>
            <w:r>
              <w:rPr>
                <w:rFonts w:hint="eastAsia"/>
              </w:rPr>
              <w:t>数据中心外侧</w:t>
            </w:r>
          </w:p>
        </w:tc>
        <w:tc>
          <w:tcPr>
            <w:tcW w:w="1333" w:type="dxa"/>
            <w:noWrap w:val="0"/>
            <w:vAlign w:val="center"/>
          </w:tcPr>
          <w:p>
            <w:pPr>
              <w:pStyle w:val="17"/>
              <w:bidi w:val="0"/>
            </w:pPr>
            <w:r>
              <w:t>干球温度</w:t>
            </w:r>
          </w:p>
          <w:p>
            <w:pPr>
              <w:pStyle w:val="17"/>
              <w:bidi w:val="0"/>
            </w:pPr>
            <w:r>
              <w:t>℃</w:t>
            </w:r>
          </w:p>
        </w:tc>
        <w:tc>
          <w:tcPr>
            <w:tcW w:w="1333" w:type="dxa"/>
            <w:noWrap w:val="0"/>
            <w:vAlign w:val="center"/>
          </w:tcPr>
          <w:p>
            <w:pPr>
              <w:pStyle w:val="17"/>
              <w:bidi w:val="0"/>
            </w:pPr>
            <w:r>
              <w:rPr>
                <w:rFonts w:hint="eastAsia"/>
              </w:rPr>
              <w:t>3</w:t>
            </w:r>
            <w:r>
              <w:t>5</w:t>
            </w:r>
          </w:p>
        </w:tc>
        <w:tc>
          <w:tcPr>
            <w:tcW w:w="1334" w:type="dxa"/>
            <w:noWrap w:val="0"/>
            <w:vAlign w:val="center"/>
          </w:tcPr>
          <w:p>
            <w:pPr>
              <w:pStyle w:val="17"/>
              <w:bidi w:val="0"/>
            </w:pPr>
            <w:r>
              <w:rPr>
                <w:rFonts w:hint="eastAsia"/>
              </w:rPr>
              <w:t>2</w:t>
            </w:r>
            <w:r>
              <w:t>5</w:t>
            </w:r>
          </w:p>
        </w:tc>
        <w:tc>
          <w:tcPr>
            <w:tcW w:w="1334" w:type="dxa"/>
            <w:noWrap w:val="0"/>
            <w:vAlign w:val="center"/>
          </w:tcPr>
          <w:p>
            <w:pPr>
              <w:pStyle w:val="17"/>
              <w:bidi w:val="0"/>
            </w:pPr>
            <w:r>
              <w:rPr>
                <w:rFonts w:hint="eastAsia"/>
              </w:rPr>
              <w:t>1</w:t>
            </w:r>
            <w:r>
              <w:t>5</w:t>
            </w:r>
          </w:p>
        </w:tc>
        <w:tc>
          <w:tcPr>
            <w:tcW w:w="1334" w:type="dxa"/>
            <w:noWrap w:val="0"/>
            <w:vAlign w:val="center"/>
          </w:tcPr>
          <w:p>
            <w:pPr>
              <w:pStyle w:val="17"/>
              <w:bidi w:val="0"/>
            </w:pPr>
            <w:r>
              <w:rPr>
                <w:rFonts w:hint="eastAsia"/>
              </w:rPr>
              <w:t>5</w:t>
            </w:r>
          </w:p>
        </w:tc>
        <w:tc>
          <w:tcPr>
            <w:tcW w:w="1334" w:type="dxa"/>
            <w:noWrap w:val="0"/>
            <w:vAlign w:val="center"/>
          </w:tcPr>
          <w:p>
            <w:pPr>
              <w:pStyle w:val="17"/>
              <w:bidi w:val="0"/>
            </w:pPr>
            <w:r>
              <w:rPr>
                <w:rFonts w:hint="eastAsia"/>
              </w:rPr>
              <w:t>-</w:t>
            </w:r>
            <w: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7"/>
            <w:noWrap w:val="0"/>
            <w:vAlign w:val="center"/>
          </w:tcPr>
          <w:p>
            <w:pPr>
              <w:pStyle w:val="17"/>
              <w:bidi w:val="0"/>
            </w:pPr>
            <w:r>
              <w:rPr>
                <w:rFonts w:hint="eastAsia"/>
              </w:rPr>
              <w:t>若某一特性工况点对应的温度分布系数为0，则无需测量该特性工况点下的功率数据。</w:t>
            </w:r>
          </w:p>
        </w:tc>
      </w:tr>
    </w:tbl>
    <w:p>
      <w:pPr>
        <w:numPr>
          <w:ilvl w:val="1"/>
          <w:numId w:val="6"/>
        </w:numPr>
        <w:bidi w:val="0"/>
        <w:ind w:left="840" w:leftChars="0" w:hanging="420" w:firstLineChars="0"/>
        <w:rPr>
          <w:rFonts w:hint="eastAsia"/>
          <w:lang w:val="en-US" w:eastAsia="zh-CN"/>
        </w:rPr>
      </w:pPr>
      <w:r>
        <w:rPr>
          <w:rFonts w:hint="eastAsia"/>
          <w:lang w:val="en-US" w:eastAsia="zh-CN"/>
        </w:rPr>
        <w:t>对于建有全年耗电量数据监控系统，并配备有与本文件所要求精度相当监测设备的数据中心，应在本文件所要求的测量点测量并记录全年耗电量数据，并监测两个数据中心电能比数值：一是按本文件所要求的数据中心电能比测试工况和测试频率，进行总功率和信息设备功率数据采集，用采集数据按公式</w:t>
      </w:r>
      <w:r>
        <w:rPr>
          <w:rFonts w:hint="eastAsia"/>
          <w:color w:val="auto"/>
          <w:lang w:val="en-US" w:eastAsia="zh-CN"/>
        </w:rPr>
        <w:t>（4.1）计算的数据中心电能比特性工况法测算值；二是用全年耗电量数据按公式（4.2）计</w:t>
      </w:r>
      <w:r>
        <w:rPr>
          <w:rFonts w:hint="eastAsia"/>
          <w:lang w:val="en-US" w:eastAsia="zh-CN"/>
        </w:rPr>
        <w:t>算的数据中心电能比全年测算值。</w:t>
      </w:r>
    </w:p>
    <w:p>
      <w:pPr>
        <w:pStyle w:val="2"/>
        <w:numPr>
          <w:ilvl w:val="0"/>
          <w:numId w:val="7"/>
        </w:numPr>
        <w:rPr>
          <w:rFonts w:hint="eastAsia"/>
          <w:b/>
          <w:bCs/>
          <w:lang w:val="en-US" w:eastAsia="zh-CN"/>
        </w:rPr>
      </w:pPr>
      <w:r>
        <w:rPr>
          <w:rFonts w:hint="eastAsia"/>
          <w:b/>
          <w:bCs/>
          <w:lang w:val="en-US" w:eastAsia="zh-CN"/>
        </w:rPr>
        <w:t>总耗电量的校准值</w:t>
      </w:r>
    </w:p>
    <w:p>
      <w:pPr>
        <w:bidi w:val="0"/>
        <w:rPr>
          <w:rFonts w:hint="eastAsia"/>
          <w:lang w:val="en-US" w:eastAsia="zh-CN"/>
        </w:rPr>
      </w:pPr>
      <w:r>
        <w:rPr>
          <w:rFonts w:hint="eastAsia"/>
          <w:lang w:val="en-US" w:eastAsia="zh-CN"/>
        </w:rPr>
        <w:t>总耗电量的校准值按照公式（2）计算</w:t>
      </w:r>
    </w:p>
    <w:p>
      <w:pPr>
        <w:pStyle w:val="17"/>
        <w:bidi w:val="0"/>
        <w:jc w:val="right"/>
        <w:rPr>
          <w:rStyle w:val="27"/>
          <w:rFonts w:hint="eastAsia"/>
          <w:lang w:val="en-US" w:eastAsia="zh-CN"/>
        </w:rPr>
      </w:pPr>
      <m:oMath>
        <m:sSub>
          <m:sSubPr>
            <m:ctrlPr>
              <w:rPr>
                <w:rFonts w:hint="default" w:ascii="Cambria Math" w:hAnsi="Cambria Math"/>
              </w:rPr>
            </m:ctrlPr>
          </m:sSubPr>
          <m:e>
            <m:r>
              <m:rPr/>
              <w:rPr>
                <w:rFonts w:hint="default" w:ascii="Cambria Math" w:hAnsi="Cambria Math"/>
              </w:rPr>
              <m:t>E</m:t>
            </m:r>
            <m:ctrlPr>
              <w:rPr>
                <w:rFonts w:hint="default" w:ascii="Cambria Math" w:hAnsi="Cambria Math"/>
              </w:rPr>
            </m:ctrlPr>
          </m:e>
          <m:sub>
            <m:r>
              <m:rPr/>
              <w:rPr>
                <w:rFonts w:hint="default" w:ascii="Cambria Math" w:hAnsi="Cambria Math"/>
              </w:rPr>
              <m:t>C</m:t>
            </m:r>
            <m:ctrlPr>
              <w:rPr>
                <w:rFonts w:hint="default" w:ascii="Cambria Math" w:hAnsi="Cambria Math"/>
              </w:rPr>
            </m:ctrlPr>
          </m:sub>
        </m:sSub>
        <m:r>
          <m:rPr/>
          <w:rPr>
            <w:rFonts w:hint="default" w:ascii="Cambria Math" w:hAnsi="Cambria Math"/>
          </w:rPr>
          <m:t>=8760×</m:t>
        </m:r>
        <m:sSub>
          <m:sSubPr>
            <m:ctrlPr>
              <w:rPr>
                <w:rFonts w:hint="default" w:ascii="Cambria Math" w:hAnsi="Cambria Math"/>
                <w:i/>
              </w:rPr>
            </m:ctrlPr>
          </m:sSubPr>
          <m:e>
            <m:r>
              <m:rPr/>
              <w:rPr>
                <w:rFonts w:hint="default" w:ascii="Cambria Math" w:hAnsi="Cambria Math"/>
              </w:rPr>
              <m:t>T</m:t>
            </m:r>
            <m:ctrlPr>
              <w:rPr>
                <w:rFonts w:hint="default" w:ascii="Cambria Math" w:hAnsi="Cambria Math"/>
                <w:i/>
              </w:rPr>
            </m:ctrlPr>
          </m:e>
          <m:sub>
            <m:r>
              <m:rPr/>
              <w:rPr>
                <w:rFonts w:hint="default" w:ascii="Cambria Math" w:hAnsi="Cambria Math"/>
              </w:rPr>
              <m:t>a</m:t>
            </m:r>
            <m:ctrlPr>
              <w:rPr>
                <w:rFonts w:hint="default" w:ascii="Cambria Math" w:hAnsi="Cambria Math"/>
                <w:i/>
              </w:rPr>
            </m:ctrlPr>
          </m:sub>
        </m:sSub>
        <m:sSub>
          <m:sSubPr>
            <m:ctrlPr>
              <w:rPr>
                <w:rFonts w:hint="default" w:ascii="Cambria Math" w:hAnsi="Cambria Math"/>
                <w:i/>
              </w:rPr>
            </m:ctrlPr>
          </m:sSubPr>
          <m:e>
            <m:r>
              <m:rPr/>
              <w:rPr>
                <w:rFonts w:hint="default" w:ascii="Cambria Math" w:hAnsi="Cambria Math"/>
              </w:rPr>
              <m:t>P</m:t>
            </m:r>
            <m:ctrlPr>
              <w:rPr>
                <w:rFonts w:hint="default" w:ascii="Cambria Math" w:hAnsi="Cambria Math"/>
                <w:i/>
              </w:rPr>
            </m:ctrlPr>
          </m:e>
          <m:sub>
            <m:r>
              <m:rPr/>
              <w:rPr>
                <w:rFonts w:hint="default" w:ascii="Cambria Math" w:hAnsi="Cambria Math"/>
              </w:rPr>
              <m:t>a</m:t>
            </m:r>
            <m:ctrlPr>
              <w:rPr>
                <w:rFonts w:hint="default" w:ascii="Cambria Math" w:hAnsi="Cambria Math"/>
                <w:i/>
              </w:rPr>
            </m:ctrlPr>
          </m:sub>
        </m:sSub>
        <m:r>
          <m:rPr/>
          <w:rPr>
            <w:rFonts w:hint="default" w:ascii="Cambria Math" w:hAnsi="Cambria Math"/>
          </w:rPr>
          <m:t>+8760×</m:t>
        </m:r>
        <m:sSub>
          <m:sSubPr>
            <m:ctrlPr>
              <w:rPr>
                <w:rFonts w:hint="default" w:ascii="Cambria Math" w:hAnsi="Cambria Math"/>
                <w:i/>
              </w:rPr>
            </m:ctrlPr>
          </m:sSubPr>
          <m:e>
            <m:r>
              <m:rPr/>
              <w:rPr>
                <w:rFonts w:hint="default" w:ascii="Cambria Math" w:hAnsi="Cambria Math"/>
              </w:rPr>
              <m:t>T</m:t>
            </m:r>
            <m:ctrlPr>
              <w:rPr>
                <w:rFonts w:hint="default" w:ascii="Cambria Math" w:hAnsi="Cambria Math"/>
                <w:i/>
              </w:rPr>
            </m:ctrlPr>
          </m:e>
          <m:sub>
            <m:r>
              <m:rPr/>
              <w:rPr>
                <w:rFonts w:hint="default" w:ascii="Cambria Math" w:hAnsi="Cambria Math"/>
              </w:rPr>
              <m:t>b</m:t>
            </m:r>
            <m:ctrlPr>
              <w:rPr>
                <w:rFonts w:hint="default" w:ascii="Cambria Math" w:hAnsi="Cambria Math"/>
                <w:i/>
              </w:rPr>
            </m:ctrlPr>
          </m:sub>
        </m:sSub>
        <m:sSub>
          <m:sSubPr>
            <m:ctrlPr>
              <w:rPr>
                <w:rFonts w:hint="default" w:ascii="Cambria Math" w:hAnsi="Cambria Math"/>
                <w:i/>
              </w:rPr>
            </m:ctrlPr>
          </m:sSubPr>
          <m:e>
            <m:r>
              <m:rPr/>
              <w:rPr>
                <w:rFonts w:hint="default" w:ascii="Cambria Math" w:hAnsi="Cambria Math"/>
              </w:rPr>
              <m:t>P</m:t>
            </m:r>
            <m:ctrlPr>
              <w:rPr>
                <w:rFonts w:hint="default" w:ascii="Cambria Math" w:hAnsi="Cambria Math"/>
                <w:i/>
              </w:rPr>
            </m:ctrlPr>
          </m:e>
          <m:sub>
            <m:r>
              <m:rPr/>
              <w:rPr>
                <w:rFonts w:hint="default" w:ascii="Cambria Math" w:hAnsi="Cambria Math"/>
              </w:rPr>
              <m:t>b</m:t>
            </m:r>
            <m:ctrlPr>
              <w:rPr>
                <w:rFonts w:hint="default" w:ascii="Cambria Math" w:hAnsi="Cambria Math"/>
                <w:i/>
              </w:rPr>
            </m:ctrlPr>
          </m:sub>
        </m:sSub>
        <m:r>
          <m:rPr/>
          <w:rPr>
            <w:rFonts w:hint="default" w:ascii="Cambria Math" w:hAnsi="Cambria Math"/>
          </w:rPr>
          <m:t>+8760×</m:t>
        </m:r>
        <m:sSub>
          <m:sSubPr>
            <m:ctrlPr>
              <w:rPr>
                <w:rFonts w:hint="default" w:ascii="Cambria Math" w:hAnsi="Cambria Math"/>
                <w:i/>
              </w:rPr>
            </m:ctrlPr>
          </m:sSubPr>
          <m:e>
            <m:r>
              <m:rPr/>
              <w:rPr>
                <w:rFonts w:hint="default" w:ascii="Cambria Math" w:hAnsi="Cambria Math"/>
              </w:rPr>
              <m:t>T</m:t>
            </m:r>
            <m:ctrlPr>
              <w:rPr>
                <w:rFonts w:hint="default" w:ascii="Cambria Math" w:hAnsi="Cambria Math"/>
                <w:i/>
              </w:rPr>
            </m:ctrlPr>
          </m:e>
          <m:sub>
            <m:r>
              <m:rPr/>
              <w:rPr>
                <w:rFonts w:hint="default" w:ascii="Cambria Math" w:hAnsi="Cambria Math"/>
              </w:rPr>
              <m:t>c</m:t>
            </m:r>
            <m:ctrlPr>
              <w:rPr>
                <w:rFonts w:hint="default" w:ascii="Cambria Math" w:hAnsi="Cambria Math"/>
                <w:i/>
              </w:rPr>
            </m:ctrlPr>
          </m:sub>
        </m:sSub>
        <m:sSub>
          <m:sSubPr>
            <m:ctrlPr>
              <w:rPr>
                <w:rFonts w:hint="default" w:ascii="Cambria Math" w:hAnsi="Cambria Math"/>
                <w:i/>
              </w:rPr>
            </m:ctrlPr>
          </m:sSubPr>
          <m:e>
            <m:r>
              <m:rPr/>
              <w:rPr>
                <w:rFonts w:hint="default" w:ascii="Cambria Math" w:hAnsi="Cambria Math"/>
              </w:rPr>
              <m:t>P</m:t>
            </m:r>
            <m:ctrlPr>
              <w:rPr>
                <w:rFonts w:hint="default" w:ascii="Cambria Math" w:hAnsi="Cambria Math"/>
                <w:i/>
              </w:rPr>
            </m:ctrlPr>
          </m:e>
          <m:sub>
            <m:r>
              <m:rPr/>
              <w:rPr>
                <w:rFonts w:hint="default" w:ascii="Cambria Math" w:hAnsi="Cambria Math"/>
              </w:rPr>
              <m:t>c</m:t>
            </m:r>
            <m:ctrlPr>
              <w:rPr>
                <w:rFonts w:hint="default" w:ascii="Cambria Math" w:hAnsi="Cambria Math"/>
                <w:i/>
              </w:rPr>
            </m:ctrlPr>
          </m:sub>
        </m:sSub>
        <m:r>
          <m:rPr/>
          <w:rPr>
            <w:rFonts w:hint="default" w:ascii="Cambria Math" w:hAnsi="Cambria Math"/>
          </w:rPr>
          <m:t>+8760×</m:t>
        </m:r>
        <m:sSub>
          <m:sSubPr>
            <m:ctrlPr>
              <w:rPr>
                <w:rFonts w:hint="default" w:ascii="Cambria Math" w:hAnsi="Cambria Math"/>
                <w:i/>
              </w:rPr>
            </m:ctrlPr>
          </m:sSubPr>
          <m:e>
            <m:r>
              <m:rPr/>
              <w:rPr>
                <w:rFonts w:hint="default" w:ascii="Cambria Math" w:hAnsi="Cambria Math"/>
              </w:rPr>
              <m:t>T</m:t>
            </m:r>
            <m:ctrlPr>
              <w:rPr>
                <w:rFonts w:hint="default" w:ascii="Cambria Math" w:hAnsi="Cambria Math"/>
                <w:i/>
              </w:rPr>
            </m:ctrlPr>
          </m:e>
          <m:sub>
            <m:r>
              <m:rPr/>
              <w:rPr>
                <w:rFonts w:hint="default" w:ascii="Cambria Math" w:hAnsi="Cambria Math"/>
              </w:rPr>
              <m:t>d</m:t>
            </m:r>
            <m:ctrlPr>
              <w:rPr>
                <w:rFonts w:hint="default" w:ascii="Cambria Math" w:hAnsi="Cambria Math"/>
                <w:i/>
              </w:rPr>
            </m:ctrlPr>
          </m:sub>
        </m:sSub>
        <m:sSub>
          <m:sSubPr>
            <m:ctrlPr>
              <w:rPr>
                <w:rFonts w:hint="default" w:ascii="Cambria Math" w:hAnsi="Cambria Math"/>
                <w:i/>
              </w:rPr>
            </m:ctrlPr>
          </m:sSubPr>
          <m:e>
            <m:r>
              <m:rPr/>
              <w:rPr>
                <w:rFonts w:hint="default" w:ascii="Cambria Math" w:hAnsi="Cambria Math"/>
              </w:rPr>
              <m:t>P</m:t>
            </m:r>
            <m:ctrlPr>
              <w:rPr>
                <w:rFonts w:hint="default" w:ascii="Cambria Math" w:hAnsi="Cambria Math"/>
                <w:i/>
              </w:rPr>
            </m:ctrlPr>
          </m:e>
          <m:sub>
            <m:r>
              <m:rPr/>
              <w:rPr>
                <w:rFonts w:hint="default" w:ascii="Cambria Math" w:hAnsi="Cambria Math"/>
              </w:rPr>
              <m:t>d</m:t>
            </m:r>
            <m:ctrlPr>
              <w:rPr>
                <w:rFonts w:hint="default" w:ascii="Cambria Math" w:hAnsi="Cambria Math"/>
                <w:i/>
              </w:rPr>
            </m:ctrlPr>
          </m:sub>
        </m:sSub>
        <m:r>
          <m:rPr/>
          <w:rPr>
            <w:rFonts w:hint="default" w:ascii="Cambria Math" w:hAnsi="Cambria Math"/>
          </w:rPr>
          <m:t>+8760×</m:t>
        </m:r>
        <m:sSub>
          <m:sSubPr>
            <m:ctrlPr>
              <w:rPr>
                <w:rFonts w:hint="default" w:ascii="Cambria Math" w:hAnsi="Cambria Math"/>
                <w:i/>
              </w:rPr>
            </m:ctrlPr>
          </m:sSubPr>
          <m:e>
            <m:r>
              <m:rPr/>
              <w:rPr>
                <w:rFonts w:hint="default" w:ascii="Cambria Math" w:hAnsi="Cambria Math"/>
              </w:rPr>
              <m:t>T</m:t>
            </m:r>
            <m:ctrlPr>
              <w:rPr>
                <w:rFonts w:hint="default" w:ascii="Cambria Math" w:hAnsi="Cambria Math"/>
                <w:i/>
              </w:rPr>
            </m:ctrlPr>
          </m:e>
          <m:sub>
            <m:r>
              <m:rPr/>
              <w:rPr>
                <w:rFonts w:hint="default" w:ascii="Cambria Math" w:hAnsi="Cambria Math"/>
              </w:rPr>
              <m:t>e</m:t>
            </m:r>
            <m:ctrlPr>
              <w:rPr>
                <w:rFonts w:hint="default" w:ascii="Cambria Math" w:hAnsi="Cambria Math"/>
                <w:i/>
              </w:rPr>
            </m:ctrlPr>
          </m:sub>
        </m:sSub>
        <m:sSub>
          <m:sSubPr>
            <m:ctrlPr>
              <w:rPr>
                <w:rFonts w:hint="default" w:ascii="Cambria Math" w:hAnsi="Cambria Math"/>
                <w:i/>
              </w:rPr>
            </m:ctrlPr>
          </m:sSubPr>
          <m:e>
            <m:r>
              <m:rPr/>
              <w:rPr>
                <w:rFonts w:hint="default" w:ascii="Cambria Math" w:hAnsi="Cambria Math"/>
              </w:rPr>
              <m:t>P</m:t>
            </m:r>
            <m:ctrlPr>
              <w:rPr>
                <w:rFonts w:hint="default" w:ascii="Cambria Math" w:hAnsi="Cambria Math"/>
                <w:i/>
              </w:rPr>
            </m:ctrlPr>
          </m:e>
          <m:sub>
            <m:r>
              <m:rPr/>
              <w:rPr>
                <w:rFonts w:hint="default" w:ascii="Cambria Math" w:hAnsi="Cambria Math"/>
              </w:rPr>
              <m:t>e</m:t>
            </m:r>
            <m:ctrlPr>
              <w:rPr>
                <w:rFonts w:hint="default" w:ascii="Cambria Math" w:hAnsi="Cambria Math"/>
                <w:i/>
              </w:rPr>
            </m:ctrlPr>
          </m:sub>
        </m:sSub>
      </m:oMath>
      <w:r>
        <w:rPr>
          <w:rStyle w:val="27"/>
          <w:rFonts w:hint="eastAsia" w:ascii="微软雅黑" w:hAnsi="微软雅黑" w:eastAsia="微软雅黑" w:cs="微软雅黑"/>
          <w:lang w:val="en-US" w:eastAsia="zh-CN"/>
        </w:rPr>
        <w:t>············</w:t>
      </w:r>
      <w:r>
        <w:rPr>
          <w:rStyle w:val="27"/>
          <w:rFonts w:hint="eastAsia"/>
          <w:lang w:val="en-US" w:eastAsia="zh-CN"/>
        </w:rPr>
        <w:t>（2）</w:t>
      </w:r>
    </w:p>
    <w:p>
      <w:pPr>
        <w:pStyle w:val="23"/>
        <w:ind w:firstLine="420"/>
        <w:rPr>
          <w:rFonts w:hint="eastAsia"/>
        </w:rPr>
      </w:pPr>
      <w:r>
        <w:rPr>
          <w:rFonts w:hint="eastAsia"/>
        </w:rPr>
        <w:t>式中：</w:t>
      </w:r>
    </w:p>
    <w:p>
      <w:pPr>
        <w:bidi w:val="0"/>
        <w:ind w:left="0" w:leftChars="0" w:firstLine="1279" w:firstLineChars="533"/>
        <w:rPr>
          <w:rFonts w:hint="eastAsia"/>
          <w:sz w:val="24"/>
          <w:szCs w:val="24"/>
        </w:rPr>
      </w:pPr>
      <w:r>
        <w:rPr>
          <w:rFonts w:hint="eastAsia"/>
          <w:sz w:val="24"/>
          <w:szCs w:val="24"/>
        </w:rPr>
        <w:t>E</w:t>
      </w:r>
      <w:r>
        <w:rPr>
          <w:rFonts w:hint="eastAsia"/>
          <w:sz w:val="24"/>
          <w:szCs w:val="24"/>
          <w:vertAlign w:val="subscript"/>
        </w:rPr>
        <w:t>C</w:t>
      </w:r>
      <w:r>
        <w:rPr>
          <w:rFonts w:hint="eastAsia"/>
          <w:sz w:val="24"/>
          <w:szCs w:val="24"/>
        </w:rPr>
        <w:t>——</w:t>
      </w:r>
      <w:r>
        <w:rPr>
          <w:sz w:val="24"/>
          <w:szCs w:val="24"/>
        </w:rPr>
        <w:t>总</w:t>
      </w:r>
      <w:r>
        <w:rPr>
          <w:rFonts w:hint="eastAsia"/>
          <w:sz w:val="24"/>
          <w:szCs w:val="24"/>
        </w:rPr>
        <w:t>耗电量的校准值，单位为千瓦时（kW·h）。</w:t>
      </w:r>
    </w:p>
    <w:p>
      <w:pPr>
        <w:tabs>
          <w:tab w:val="left" w:pos="2240"/>
        </w:tabs>
        <w:bidi w:val="0"/>
        <w:ind w:left="2256" w:leftChars="456" w:hanging="979" w:hangingChars="408"/>
        <w:rPr>
          <w:sz w:val="24"/>
          <w:szCs w:val="24"/>
        </w:rPr>
      </w:pPr>
      <m:oMath>
        <m:sSub>
          <m:sSubPr>
            <m:ctrlPr>
              <w:rPr>
                <w:rFonts w:hint="default" w:ascii="Cambria Math" w:hAnsi="Cambria Math"/>
                <w:sz w:val="24"/>
                <w:szCs w:val="24"/>
              </w:rPr>
            </m:ctrlPr>
          </m:sSubPr>
          <m:e>
            <m:r>
              <m:rPr>
                <m:sty m:val="p"/>
              </m:rPr>
              <w:rPr>
                <w:rFonts w:hint="default" w:ascii="Cambria Math" w:hAnsi="Cambria Math"/>
                <w:sz w:val="24"/>
                <w:szCs w:val="24"/>
              </w:rPr>
              <m:t>P</m:t>
            </m:r>
            <m:ctrlPr>
              <w:rPr>
                <w:rFonts w:hint="default" w:ascii="Cambria Math" w:hAnsi="Cambria Math"/>
                <w:sz w:val="24"/>
                <w:szCs w:val="24"/>
              </w:rPr>
            </m:ctrlPr>
          </m:e>
          <m:sub>
            <m:r>
              <m:rPr>
                <m:sty m:val="p"/>
              </m:rPr>
              <w:rPr>
                <w:rFonts w:hint="default" w:ascii="Cambria Math" w:hAnsi="Cambria Math"/>
                <w:sz w:val="24"/>
                <w:szCs w:val="24"/>
              </w:rPr>
              <m:t>a</m:t>
            </m:r>
            <m:ctrlPr>
              <w:rPr>
                <w:rFonts w:hint="default" w:ascii="Cambria Math" w:hAnsi="Cambria Math"/>
                <w:sz w:val="24"/>
                <w:szCs w:val="24"/>
              </w:rPr>
            </m:ctrlPr>
          </m:sub>
        </m:sSub>
        <m:r>
          <m:rPr>
            <m:sty m:val="p"/>
          </m:rPr>
          <w:rPr>
            <w:rFonts w:hint="default" w:ascii="Cambria Math" w:hAnsi="Cambria Math"/>
            <w:sz w:val="24"/>
            <w:szCs w:val="24"/>
          </w:rPr>
          <m:t>~</m:t>
        </m:r>
        <m:sSub>
          <m:sSubPr>
            <m:ctrlPr>
              <w:rPr>
                <w:rFonts w:hint="default" w:ascii="Cambria Math" w:hAnsi="Cambria Math"/>
                <w:sz w:val="24"/>
                <w:szCs w:val="24"/>
              </w:rPr>
            </m:ctrlPr>
          </m:sSubPr>
          <m:e>
            <m:r>
              <m:rPr>
                <m:sty m:val="p"/>
              </m:rPr>
              <w:rPr>
                <w:rFonts w:hint="default" w:ascii="Cambria Math" w:hAnsi="Cambria Math"/>
                <w:sz w:val="24"/>
                <w:szCs w:val="24"/>
              </w:rPr>
              <m:t>P</m:t>
            </m:r>
            <m:ctrlPr>
              <w:rPr>
                <w:rFonts w:hint="default" w:ascii="Cambria Math" w:hAnsi="Cambria Math"/>
                <w:sz w:val="24"/>
                <w:szCs w:val="24"/>
              </w:rPr>
            </m:ctrlPr>
          </m:e>
          <m:sub>
            <m:r>
              <m:rPr>
                <m:sty m:val="p"/>
              </m:rPr>
              <w:rPr>
                <w:rFonts w:hint="eastAsia" w:ascii="Cambria Math" w:hAnsi="Cambria Math"/>
                <w:sz w:val="24"/>
                <w:szCs w:val="24"/>
              </w:rPr>
              <m:t>e</m:t>
            </m:r>
            <m:ctrlPr>
              <w:rPr>
                <w:rFonts w:hint="default" w:ascii="Cambria Math" w:hAnsi="Cambria Math"/>
                <w:sz w:val="24"/>
                <w:szCs w:val="24"/>
              </w:rPr>
            </m:ctrlPr>
          </m:sub>
        </m:sSub>
      </m:oMath>
      <w:r>
        <w:rPr>
          <w:rFonts w:hint="eastAsia"/>
          <w:sz w:val="24"/>
          <w:szCs w:val="24"/>
        </w:rPr>
        <w:t>——在表</w:t>
      </w:r>
      <w:r>
        <w:rPr>
          <w:sz w:val="24"/>
          <w:szCs w:val="24"/>
        </w:rPr>
        <w:t>2中</w:t>
      </w:r>
      <w:r>
        <w:rPr>
          <w:rFonts w:hint="eastAsia"/>
          <w:sz w:val="24"/>
          <w:szCs w:val="24"/>
        </w:rPr>
        <w:t>a</w:t>
      </w:r>
      <w:r>
        <w:rPr>
          <w:sz w:val="24"/>
          <w:szCs w:val="24"/>
        </w:rPr>
        <w:t>~e工况</w:t>
      </w:r>
      <w:r>
        <w:rPr>
          <w:rFonts w:hint="eastAsia"/>
          <w:sz w:val="24"/>
          <w:szCs w:val="24"/>
        </w:rPr>
        <w:t>条</w:t>
      </w:r>
      <w:r>
        <w:rPr>
          <w:sz w:val="24"/>
          <w:szCs w:val="24"/>
        </w:rPr>
        <w:t>件下测</w:t>
      </w:r>
      <w:r>
        <w:rPr>
          <w:rFonts w:hint="eastAsia"/>
          <w:sz w:val="24"/>
          <w:szCs w:val="24"/>
        </w:rPr>
        <w:t>算</w:t>
      </w:r>
      <w:r>
        <w:rPr>
          <w:sz w:val="24"/>
          <w:szCs w:val="24"/>
        </w:rPr>
        <w:t>的数据中心总</w:t>
      </w:r>
      <w:r>
        <w:rPr>
          <w:rFonts w:hint="eastAsia"/>
          <w:sz w:val="24"/>
          <w:szCs w:val="24"/>
        </w:rPr>
        <w:t>功率，单位为千瓦（kW）；</w:t>
      </w:r>
    </w:p>
    <w:p>
      <w:pPr>
        <w:bidi w:val="0"/>
        <w:ind w:left="0" w:leftChars="0" w:firstLine="1279" w:firstLineChars="533"/>
        <w:rPr>
          <w:rFonts w:hint="eastAsia" w:eastAsia="仿宋_GB2312"/>
          <w:sz w:val="24"/>
          <w:szCs w:val="24"/>
          <w:lang w:eastAsia="zh-CN"/>
        </w:rPr>
      </w:pPr>
      <m:oMath>
        <m:sSub>
          <m:sSubPr>
            <m:ctrlPr>
              <w:rPr>
                <w:rFonts w:hint="default" w:ascii="Cambria Math" w:hAnsi="Cambria Math"/>
                <w:sz w:val="24"/>
                <w:szCs w:val="24"/>
              </w:rPr>
            </m:ctrlPr>
          </m:sSubPr>
          <m:e>
            <m:r>
              <m:rPr>
                <m:sty m:val="p"/>
              </m:rPr>
              <w:rPr>
                <w:rFonts w:hint="default" w:ascii="Cambria Math" w:hAnsi="Cambria Math"/>
                <w:sz w:val="24"/>
                <w:szCs w:val="24"/>
              </w:rPr>
              <m:t>T</m:t>
            </m:r>
            <m:ctrlPr>
              <w:rPr>
                <w:rFonts w:hint="default" w:ascii="Cambria Math" w:hAnsi="Cambria Math"/>
                <w:sz w:val="24"/>
                <w:szCs w:val="24"/>
              </w:rPr>
            </m:ctrlPr>
          </m:e>
          <m:sub>
            <m:r>
              <m:rPr>
                <m:sty m:val="p"/>
              </m:rPr>
              <w:rPr>
                <w:rFonts w:hint="default" w:ascii="Cambria Math" w:hAnsi="Cambria Math"/>
                <w:sz w:val="24"/>
                <w:szCs w:val="24"/>
              </w:rPr>
              <m:t>a</m:t>
            </m:r>
            <m:ctrlPr>
              <w:rPr>
                <w:rFonts w:hint="default" w:ascii="Cambria Math" w:hAnsi="Cambria Math"/>
                <w:sz w:val="24"/>
                <w:szCs w:val="24"/>
              </w:rPr>
            </m:ctrlPr>
          </m:sub>
        </m:sSub>
        <m:r>
          <m:rPr>
            <m:sty m:val="p"/>
          </m:rPr>
          <w:rPr>
            <w:rFonts w:hint="default" w:ascii="Cambria Math" w:hAnsi="Cambria Math"/>
            <w:sz w:val="24"/>
            <w:szCs w:val="24"/>
          </w:rPr>
          <m:t>~</m:t>
        </m:r>
        <m:sSub>
          <m:sSubPr>
            <m:ctrlPr>
              <w:rPr>
                <w:rFonts w:hint="default" w:ascii="Cambria Math" w:hAnsi="Cambria Math"/>
                <w:sz w:val="24"/>
                <w:szCs w:val="24"/>
              </w:rPr>
            </m:ctrlPr>
          </m:sSubPr>
          <m:e>
            <m:r>
              <m:rPr>
                <m:sty m:val="p"/>
              </m:rPr>
              <w:rPr>
                <w:rFonts w:hint="default" w:ascii="Cambria Math" w:hAnsi="Cambria Math"/>
                <w:sz w:val="24"/>
                <w:szCs w:val="24"/>
              </w:rPr>
              <m:t>T</m:t>
            </m:r>
            <m:ctrlPr>
              <w:rPr>
                <w:rFonts w:hint="default" w:ascii="Cambria Math" w:hAnsi="Cambria Math"/>
                <w:sz w:val="24"/>
                <w:szCs w:val="24"/>
              </w:rPr>
            </m:ctrlPr>
          </m:e>
          <m:sub>
            <m:r>
              <m:rPr>
                <m:sty m:val="p"/>
              </m:rPr>
              <w:rPr>
                <w:rFonts w:hint="eastAsia" w:ascii="Cambria Math" w:hAnsi="Cambria Math"/>
                <w:sz w:val="24"/>
                <w:szCs w:val="24"/>
              </w:rPr>
              <m:t>e</m:t>
            </m:r>
            <m:ctrlPr>
              <w:rPr>
                <w:rFonts w:hint="default" w:ascii="Cambria Math" w:hAnsi="Cambria Math"/>
                <w:sz w:val="24"/>
                <w:szCs w:val="24"/>
              </w:rPr>
            </m:ctrlPr>
          </m:sub>
        </m:sSub>
      </m:oMath>
      <w:r>
        <w:rPr>
          <w:rFonts w:hint="eastAsia"/>
          <w:color w:val="auto"/>
          <w:sz w:val="24"/>
          <w:szCs w:val="24"/>
        </w:rPr>
        <w:t>——温度分布系数，无因次；具体数值见附录A</w:t>
      </w:r>
      <w:r>
        <w:rPr>
          <w:rFonts w:hint="eastAsia"/>
          <w:color w:val="auto"/>
          <w:sz w:val="24"/>
          <w:szCs w:val="24"/>
          <w:lang w:eastAsia="zh-CN"/>
        </w:rPr>
        <w:t>；</w:t>
      </w:r>
    </w:p>
    <w:p>
      <w:pPr>
        <w:bidi w:val="0"/>
        <w:ind w:left="0" w:leftChars="0" w:firstLine="1279" w:firstLineChars="533"/>
        <w:rPr>
          <w:rFonts w:hint="eastAsia"/>
          <w:sz w:val="24"/>
          <w:szCs w:val="24"/>
          <w:lang w:eastAsia="zh-CN"/>
        </w:rPr>
      </w:pPr>
      <w:r>
        <w:rPr>
          <w:rFonts w:hint="eastAsia"/>
          <w:sz w:val="24"/>
          <w:szCs w:val="24"/>
        </w:rPr>
        <w:t>8760——全年小时数，单位为小时（h）</w:t>
      </w:r>
      <w:r>
        <w:rPr>
          <w:rFonts w:hint="eastAsia"/>
          <w:sz w:val="24"/>
          <w:szCs w:val="24"/>
          <w:lang w:eastAsia="zh-CN"/>
        </w:rPr>
        <w:t>。</w:t>
      </w:r>
    </w:p>
    <w:p>
      <w:pPr>
        <w:pStyle w:val="2"/>
        <w:rPr>
          <w:rFonts w:hint="eastAsia"/>
          <w:lang w:val="en-US" w:eastAsia="zh-CN"/>
        </w:rPr>
      </w:pPr>
      <w:r>
        <w:rPr>
          <w:rFonts w:hint="eastAsia"/>
          <w:lang w:val="en-US" w:eastAsia="zh-CN"/>
        </w:rPr>
        <w:t xml:space="preserve">注：温度分布系数 </w:t>
      </w:r>
      <m:oMath>
        <m:sSub>
          <m:sSubPr>
            <m:ctrlPr>
              <w:rPr>
                <w:rFonts w:hint="default" w:ascii="Cambria Math" w:hAnsi="Cambria Math"/>
                <w:sz w:val="24"/>
                <w:szCs w:val="24"/>
              </w:rPr>
            </m:ctrlPr>
          </m:sSubPr>
          <m:e>
            <m:r>
              <m:rPr>
                <m:sty m:val="p"/>
              </m:rPr>
              <w:rPr>
                <w:rFonts w:hint="default" w:ascii="Cambria Math" w:hAnsi="Cambria Math"/>
                <w:sz w:val="24"/>
                <w:szCs w:val="24"/>
              </w:rPr>
              <m:t>T</m:t>
            </m:r>
            <m:ctrlPr>
              <w:rPr>
                <w:rFonts w:hint="default" w:ascii="Cambria Math" w:hAnsi="Cambria Math"/>
                <w:sz w:val="24"/>
                <w:szCs w:val="24"/>
              </w:rPr>
            </m:ctrlPr>
          </m:e>
          <m:sub>
            <m:r>
              <m:rPr>
                <m:sty m:val="p"/>
              </m:rPr>
              <w:rPr>
                <w:rFonts w:hint="default" w:ascii="Cambria Math" w:hAnsi="Cambria Math"/>
                <w:sz w:val="24"/>
                <w:szCs w:val="24"/>
              </w:rPr>
              <m:t>a</m:t>
            </m:r>
            <m:ctrlPr>
              <w:rPr>
                <w:rFonts w:hint="default" w:ascii="Cambria Math" w:hAnsi="Cambria Math"/>
                <w:sz w:val="24"/>
                <w:szCs w:val="24"/>
              </w:rPr>
            </m:ctrlPr>
          </m:sub>
        </m:sSub>
        <m:r>
          <m:rPr>
            <m:sty m:val="p"/>
          </m:rPr>
          <w:rPr>
            <w:rFonts w:hint="default" w:ascii="Cambria Math" w:hAnsi="Cambria Math"/>
            <w:sz w:val="24"/>
            <w:szCs w:val="24"/>
          </w:rPr>
          <m:t>~</m:t>
        </m:r>
        <m:sSub>
          <m:sSubPr>
            <m:ctrlPr>
              <w:rPr>
                <w:rFonts w:hint="default" w:ascii="Cambria Math" w:hAnsi="Cambria Math"/>
                <w:sz w:val="24"/>
                <w:szCs w:val="24"/>
              </w:rPr>
            </m:ctrlPr>
          </m:sSubPr>
          <m:e>
            <m:r>
              <m:rPr>
                <m:sty m:val="p"/>
              </m:rPr>
              <w:rPr>
                <w:rFonts w:hint="default" w:ascii="Cambria Math" w:hAnsi="Cambria Math"/>
                <w:sz w:val="24"/>
                <w:szCs w:val="24"/>
              </w:rPr>
              <m:t>T</m:t>
            </m:r>
            <m:ctrlPr>
              <w:rPr>
                <w:rFonts w:hint="default" w:ascii="Cambria Math" w:hAnsi="Cambria Math"/>
                <w:sz w:val="24"/>
                <w:szCs w:val="24"/>
              </w:rPr>
            </m:ctrlPr>
          </m:e>
          <m:sub>
            <m:r>
              <m:rPr>
                <m:sty m:val="p"/>
              </m:rPr>
              <w:rPr>
                <w:rFonts w:hint="eastAsia" w:ascii="Cambria Math" w:hAnsi="Cambria Math"/>
                <w:sz w:val="24"/>
                <w:szCs w:val="24"/>
              </w:rPr>
              <m:t>e</m:t>
            </m:r>
            <m:ctrlPr>
              <w:rPr>
                <w:rFonts w:hint="default" w:ascii="Cambria Math" w:hAnsi="Cambria Math"/>
                <w:sz w:val="24"/>
                <w:szCs w:val="24"/>
              </w:rPr>
            </m:ctrlPr>
          </m:sub>
        </m:sSub>
      </m:oMath>
      <w:r>
        <w:rPr>
          <w:rFonts w:hint="eastAsia" w:ascii="Cambria Math" w:hAnsi="Cambria Math"/>
          <w:i w:val="0"/>
          <w:sz w:val="24"/>
          <w:szCs w:val="24"/>
          <w:lang w:val="en-US" w:eastAsia="zh-CN"/>
        </w:rPr>
        <w:t xml:space="preserve"> </w:t>
      </w:r>
      <w:r>
        <w:rPr>
          <w:rFonts w:hint="eastAsia"/>
          <w:lang w:val="en-US" w:eastAsia="zh-CN"/>
        </w:rPr>
        <w:t>表示每个特性工况点所代表的温度区间在某地区全年温度分布的时间占比。</w:t>
      </w:r>
    </w:p>
    <w:p>
      <w:pPr>
        <w:pStyle w:val="2"/>
        <w:numPr>
          <w:ilvl w:val="0"/>
          <w:numId w:val="7"/>
        </w:numPr>
        <w:rPr>
          <w:rFonts w:hint="default"/>
          <w:b/>
          <w:bCs/>
          <w:lang w:val="en-US" w:eastAsia="zh-CN"/>
        </w:rPr>
      </w:pPr>
      <w:r>
        <w:rPr>
          <w:rFonts w:hint="default"/>
          <w:b/>
          <w:bCs/>
          <w:lang w:val="en-US" w:eastAsia="zh-CN"/>
        </w:rPr>
        <w:t>信息设备耗电量的校准值</w:t>
      </w:r>
    </w:p>
    <w:p>
      <w:pPr>
        <w:bidi w:val="0"/>
        <w:rPr>
          <w:rFonts w:hint="default"/>
          <w:lang w:val="en-US" w:eastAsia="zh-CN"/>
        </w:rPr>
      </w:pPr>
      <w:r>
        <w:rPr>
          <w:rFonts w:hint="default"/>
          <w:lang w:val="en-US" w:eastAsia="zh-CN"/>
        </w:rPr>
        <w:t>信息设备耗电量的校准值按照公式（</w:t>
      </w:r>
      <w:r>
        <w:rPr>
          <w:rFonts w:hint="eastAsia"/>
          <w:lang w:val="en-US" w:eastAsia="zh-CN"/>
        </w:rPr>
        <w:t>3</w:t>
      </w:r>
      <w:r>
        <w:rPr>
          <w:rFonts w:hint="default"/>
          <w:lang w:val="en-US" w:eastAsia="zh-CN"/>
        </w:rPr>
        <w:t>）计算</w:t>
      </w:r>
    </w:p>
    <w:p>
      <w:pPr>
        <w:pStyle w:val="2"/>
        <w:ind w:left="0" w:leftChars="0" w:firstLine="0" w:firstLineChars="0"/>
        <w:rPr>
          <w:rFonts w:hint="eastAsia"/>
          <w:sz w:val="22"/>
          <w:szCs w:val="21"/>
          <w:lang w:eastAsia="zh-CN"/>
        </w:rPr>
      </w:pPr>
      <m:oMath>
        <m:sSub>
          <m:sSubPr>
            <m:ctrlPr>
              <w:rPr>
                <w:rFonts w:hint="default" w:ascii="Cambria Math" w:hAnsi="Cambria Math"/>
                <w:sz w:val="20"/>
                <w:szCs w:val="18"/>
              </w:rPr>
            </m:ctrlPr>
          </m:sSubPr>
          <m:e>
            <m:r>
              <m:rPr/>
              <w:rPr>
                <w:rFonts w:hint="default" w:ascii="Cambria Math" w:hAnsi="Cambria Math"/>
                <w:sz w:val="20"/>
                <w:szCs w:val="18"/>
              </w:rPr>
              <m:t>E</m:t>
            </m:r>
            <m:ctrlPr>
              <w:rPr>
                <w:rFonts w:hint="default" w:ascii="Cambria Math" w:hAnsi="Cambria Math"/>
                <w:sz w:val="20"/>
                <w:szCs w:val="18"/>
              </w:rPr>
            </m:ctrlPr>
          </m:e>
          <m:sub>
            <m:r>
              <m:rPr/>
              <w:rPr>
                <w:rFonts w:hint="default" w:ascii="Cambria Math" w:hAnsi="Cambria Math"/>
                <w:sz w:val="20"/>
                <w:szCs w:val="18"/>
              </w:rPr>
              <m:t>CIT</m:t>
            </m:r>
            <m:ctrlPr>
              <w:rPr>
                <w:rFonts w:hint="default" w:ascii="Cambria Math" w:hAnsi="Cambria Math"/>
                <w:sz w:val="20"/>
                <w:szCs w:val="18"/>
              </w:rPr>
            </m:ctrlPr>
          </m:sub>
        </m:sSub>
        <m:r>
          <m:rPr/>
          <w:rPr>
            <w:rFonts w:hint="default" w:ascii="Cambria Math" w:hAnsi="Cambria Math"/>
            <w:sz w:val="20"/>
            <w:szCs w:val="18"/>
          </w:rPr>
          <m:t>=8760×</m:t>
        </m:r>
        <m:sSub>
          <m:sSubPr>
            <m:ctrlPr>
              <w:rPr>
                <w:rFonts w:hint="default" w:ascii="Cambria Math" w:hAnsi="Cambria Math"/>
                <w:i/>
                <w:sz w:val="20"/>
                <w:szCs w:val="18"/>
              </w:rPr>
            </m:ctrlPr>
          </m:sSubPr>
          <m:e>
            <m:r>
              <m:rPr/>
              <w:rPr>
                <w:rFonts w:hint="default" w:ascii="Cambria Math" w:hAnsi="Cambria Math"/>
                <w:sz w:val="20"/>
                <w:szCs w:val="18"/>
              </w:rPr>
              <m:t>T</m:t>
            </m:r>
            <m:ctrlPr>
              <w:rPr>
                <w:rFonts w:hint="default" w:ascii="Cambria Math" w:hAnsi="Cambria Math"/>
                <w:i/>
                <w:sz w:val="20"/>
                <w:szCs w:val="18"/>
              </w:rPr>
            </m:ctrlPr>
          </m:e>
          <m:sub>
            <m:r>
              <m:rPr/>
              <w:rPr>
                <w:rFonts w:hint="default" w:ascii="Cambria Math" w:hAnsi="Cambria Math"/>
                <w:sz w:val="20"/>
                <w:szCs w:val="18"/>
              </w:rPr>
              <m:t>a</m:t>
            </m:r>
            <m:ctrlPr>
              <w:rPr>
                <w:rFonts w:hint="default" w:ascii="Cambria Math" w:hAnsi="Cambria Math"/>
                <w:i/>
                <w:sz w:val="20"/>
                <w:szCs w:val="18"/>
              </w:rPr>
            </m:ctrlPr>
          </m:sub>
        </m:sSub>
        <m:sSub>
          <m:sSubPr>
            <m:ctrlPr>
              <w:rPr>
                <w:rFonts w:hint="default" w:ascii="Cambria Math" w:hAnsi="Cambria Math"/>
                <w:i/>
                <w:sz w:val="20"/>
                <w:szCs w:val="18"/>
              </w:rPr>
            </m:ctrlPr>
          </m:sSubPr>
          <m:e>
            <m:r>
              <m:rPr/>
              <w:rPr>
                <w:rFonts w:hint="default" w:ascii="Cambria Math" w:hAnsi="Cambria Math"/>
                <w:sz w:val="20"/>
                <w:szCs w:val="18"/>
              </w:rPr>
              <m:t>P</m:t>
            </m:r>
            <m:ctrlPr>
              <w:rPr>
                <w:rFonts w:hint="default" w:ascii="Cambria Math" w:hAnsi="Cambria Math"/>
                <w:i/>
                <w:sz w:val="20"/>
                <w:szCs w:val="18"/>
              </w:rPr>
            </m:ctrlPr>
          </m:e>
          <m:sub>
            <m:r>
              <m:rPr/>
              <w:rPr>
                <w:rFonts w:hint="default" w:ascii="Cambria Math" w:hAnsi="Cambria Math"/>
                <w:sz w:val="20"/>
                <w:szCs w:val="18"/>
              </w:rPr>
              <m:t>aIT</m:t>
            </m:r>
            <m:ctrlPr>
              <w:rPr>
                <w:rFonts w:hint="default" w:ascii="Cambria Math" w:hAnsi="Cambria Math"/>
                <w:i/>
                <w:sz w:val="20"/>
                <w:szCs w:val="18"/>
              </w:rPr>
            </m:ctrlPr>
          </m:sub>
        </m:sSub>
        <m:r>
          <m:rPr/>
          <w:rPr>
            <w:rFonts w:hint="default" w:ascii="Cambria Math" w:hAnsi="Cambria Math"/>
            <w:sz w:val="20"/>
            <w:szCs w:val="18"/>
          </w:rPr>
          <m:t>+8760×</m:t>
        </m:r>
        <m:sSub>
          <m:sSubPr>
            <m:ctrlPr>
              <w:rPr>
                <w:rFonts w:hint="default" w:ascii="Cambria Math" w:hAnsi="Cambria Math"/>
                <w:i/>
                <w:sz w:val="20"/>
                <w:szCs w:val="18"/>
              </w:rPr>
            </m:ctrlPr>
          </m:sSubPr>
          <m:e>
            <m:r>
              <m:rPr/>
              <w:rPr>
                <w:rFonts w:hint="default" w:ascii="Cambria Math" w:hAnsi="Cambria Math"/>
                <w:sz w:val="20"/>
                <w:szCs w:val="18"/>
              </w:rPr>
              <m:t>T</m:t>
            </m:r>
            <m:ctrlPr>
              <w:rPr>
                <w:rFonts w:hint="default" w:ascii="Cambria Math" w:hAnsi="Cambria Math"/>
                <w:i/>
                <w:sz w:val="20"/>
                <w:szCs w:val="18"/>
              </w:rPr>
            </m:ctrlPr>
          </m:e>
          <m:sub>
            <m:r>
              <m:rPr/>
              <w:rPr>
                <w:rFonts w:hint="default" w:ascii="Cambria Math" w:hAnsi="Cambria Math"/>
                <w:sz w:val="20"/>
                <w:szCs w:val="18"/>
              </w:rPr>
              <m:t>b</m:t>
            </m:r>
            <m:ctrlPr>
              <w:rPr>
                <w:rFonts w:hint="default" w:ascii="Cambria Math" w:hAnsi="Cambria Math"/>
                <w:i/>
                <w:sz w:val="20"/>
                <w:szCs w:val="18"/>
              </w:rPr>
            </m:ctrlPr>
          </m:sub>
        </m:sSub>
        <m:sSub>
          <m:sSubPr>
            <m:ctrlPr>
              <w:rPr>
                <w:rFonts w:hint="default" w:ascii="Cambria Math" w:hAnsi="Cambria Math"/>
                <w:i/>
                <w:sz w:val="20"/>
                <w:szCs w:val="18"/>
              </w:rPr>
            </m:ctrlPr>
          </m:sSubPr>
          <m:e>
            <m:r>
              <m:rPr/>
              <w:rPr>
                <w:rFonts w:hint="default" w:ascii="Cambria Math" w:hAnsi="Cambria Math"/>
                <w:sz w:val="20"/>
                <w:szCs w:val="18"/>
              </w:rPr>
              <m:t>P</m:t>
            </m:r>
            <m:ctrlPr>
              <w:rPr>
                <w:rFonts w:hint="default" w:ascii="Cambria Math" w:hAnsi="Cambria Math"/>
                <w:i/>
                <w:sz w:val="20"/>
                <w:szCs w:val="18"/>
              </w:rPr>
            </m:ctrlPr>
          </m:e>
          <m:sub>
            <m:r>
              <m:rPr/>
              <w:rPr>
                <w:rFonts w:hint="default" w:ascii="Cambria Math" w:hAnsi="Cambria Math"/>
                <w:sz w:val="20"/>
                <w:szCs w:val="18"/>
              </w:rPr>
              <m:t>bIT</m:t>
            </m:r>
            <m:ctrlPr>
              <w:rPr>
                <w:rFonts w:hint="default" w:ascii="Cambria Math" w:hAnsi="Cambria Math"/>
                <w:i/>
                <w:sz w:val="20"/>
                <w:szCs w:val="18"/>
              </w:rPr>
            </m:ctrlPr>
          </m:sub>
        </m:sSub>
        <m:r>
          <m:rPr/>
          <w:rPr>
            <w:rFonts w:hint="default" w:ascii="Cambria Math" w:hAnsi="Cambria Math"/>
            <w:sz w:val="20"/>
            <w:szCs w:val="18"/>
          </w:rPr>
          <m:t>+8760×</m:t>
        </m:r>
        <m:sSub>
          <m:sSubPr>
            <m:ctrlPr>
              <w:rPr>
                <w:rFonts w:hint="default" w:ascii="Cambria Math" w:hAnsi="Cambria Math"/>
                <w:i/>
                <w:sz w:val="20"/>
                <w:szCs w:val="18"/>
              </w:rPr>
            </m:ctrlPr>
          </m:sSubPr>
          <m:e>
            <m:r>
              <m:rPr/>
              <w:rPr>
                <w:rFonts w:hint="default" w:ascii="Cambria Math" w:hAnsi="Cambria Math"/>
                <w:sz w:val="20"/>
                <w:szCs w:val="18"/>
              </w:rPr>
              <m:t>T</m:t>
            </m:r>
            <m:ctrlPr>
              <w:rPr>
                <w:rFonts w:hint="default" w:ascii="Cambria Math" w:hAnsi="Cambria Math"/>
                <w:i/>
                <w:sz w:val="20"/>
                <w:szCs w:val="18"/>
              </w:rPr>
            </m:ctrlPr>
          </m:e>
          <m:sub>
            <m:r>
              <m:rPr/>
              <w:rPr>
                <w:rFonts w:hint="default" w:ascii="Cambria Math" w:hAnsi="Cambria Math"/>
                <w:sz w:val="20"/>
                <w:szCs w:val="18"/>
              </w:rPr>
              <m:t>c</m:t>
            </m:r>
            <m:ctrlPr>
              <w:rPr>
                <w:rFonts w:hint="default" w:ascii="Cambria Math" w:hAnsi="Cambria Math"/>
                <w:i/>
                <w:sz w:val="20"/>
                <w:szCs w:val="18"/>
              </w:rPr>
            </m:ctrlPr>
          </m:sub>
        </m:sSub>
        <m:sSub>
          <m:sSubPr>
            <m:ctrlPr>
              <w:rPr>
                <w:rFonts w:hint="default" w:ascii="Cambria Math" w:hAnsi="Cambria Math"/>
                <w:i/>
                <w:sz w:val="20"/>
                <w:szCs w:val="18"/>
              </w:rPr>
            </m:ctrlPr>
          </m:sSubPr>
          <m:e>
            <m:r>
              <m:rPr/>
              <w:rPr>
                <w:rFonts w:hint="default" w:ascii="Cambria Math" w:hAnsi="Cambria Math"/>
                <w:sz w:val="20"/>
                <w:szCs w:val="18"/>
              </w:rPr>
              <m:t>P</m:t>
            </m:r>
            <m:ctrlPr>
              <w:rPr>
                <w:rFonts w:hint="default" w:ascii="Cambria Math" w:hAnsi="Cambria Math"/>
                <w:i/>
                <w:sz w:val="20"/>
                <w:szCs w:val="18"/>
              </w:rPr>
            </m:ctrlPr>
          </m:e>
          <m:sub>
            <m:r>
              <m:rPr/>
              <w:rPr>
                <w:rFonts w:hint="default" w:ascii="Cambria Math" w:hAnsi="Cambria Math"/>
                <w:sz w:val="20"/>
                <w:szCs w:val="18"/>
              </w:rPr>
              <m:t>cIT</m:t>
            </m:r>
            <m:ctrlPr>
              <w:rPr>
                <w:rFonts w:hint="default" w:ascii="Cambria Math" w:hAnsi="Cambria Math"/>
                <w:i/>
                <w:sz w:val="20"/>
                <w:szCs w:val="18"/>
              </w:rPr>
            </m:ctrlPr>
          </m:sub>
        </m:sSub>
        <m:r>
          <m:rPr/>
          <w:rPr>
            <w:rFonts w:hint="default" w:ascii="Cambria Math" w:hAnsi="Cambria Math"/>
            <w:sz w:val="20"/>
            <w:szCs w:val="18"/>
          </w:rPr>
          <m:t>+8760×</m:t>
        </m:r>
        <m:sSub>
          <m:sSubPr>
            <m:ctrlPr>
              <w:rPr>
                <w:rFonts w:hint="default" w:ascii="Cambria Math" w:hAnsi="Cambria Math"/>
                <w:i/>
                <w:sz w:val="20"/>
                <w:szCs w:val="18"/>
              </w:rPr>
            </m:ctrlPr>
          </m:sSubPr>
          <m:e>
            <m:r>
              <m:rPr/>
              <w:rPr>
                <w:rFonts w:hint="default" w:ascii="Cambria Math" w:hAnsi="Cambria Math"/>
                <w:sz w:val="20"/>
                <w:szCs w:val="18"/>
              </w:rPr>
              <m:t>T</m:t>
            </m:r>
            <m:ctrlPr>
              <w:rPr>
                <w:rFonts w:hint="default" w:ascii="Cambria Math" w:hAnsi="Cambria Math"/>
                <w:i/>
                <w:sz w:val="20"/>
                <w:szCs w:val="18"/>
              </w:rPr>
            </m:ctrlPr>
          </m:e>
          <m:sub>
            <m:r>
              <m:rPr/>
              <w:rPr>
                <w:rFonts w:hint="default" w:ascii="Cambria Math" w:hAnsi="Cambria Math"/>
                <w:sz w:val="20"/>
                <w:szCs w:val="18"/>
              </w:rPr>
              <m:t>d</m:t>
            </m:r>
            <m:ctrlPr>
              <w:rPr>
                <w:rFonts w:hint="default" w:ascii="Cambria Math" w:hAnsi="Cambria Math"/>
                <w:i/>
                <w:sz w:val="20"/>
                <w:szCs w:val="18"/>
              </w:rPr>
            </m:ctrlPr>
          </m:sub>
        </m:sSub>
        <m:sSub>
          <m:sSubPr>
            <m:ctrlPr>
              <w:rPr>
                <w:rFonts w:hint="default" w:ascii="Cambria Math" w:hAnsi="Cambria Math"/>
                <w:i/>
                <w:sz w:val="20"/>
                <w:szCs w:val="18"/>
              </w:rPr>
            </m:ctrlPr>
          </m:sSubPr>
          <m:e>
            <m:r>
              <m:rPr/>
              <w:rPr>
                <w:rFonts w:hint="default" w:ascii="Cambria Math" w:hAnsi="Cambria Math"/>
                <w:sz w:val="20"/>
                <w:szCs w:val="18"/>
              </w:rPr>
              <m:t>P</m:t>
            </m:r>
            <m:ctrlPr>
              <w:rPr>
                <w:rFonts w:hint="default" w:ascii="Cambria Math" w:hAnsi="Cambria Math"/>
                <w:i/>
                <w:sz w:val="20"/>
                <w:szCs w:val="18"/>
              </w:rPr>
            </m:ctrlPr>
          </m:e>
          <m:sub>
            <m:r>
              <m:rPr/>
              <w:rPr>
                <w:rFonts w:hint="default" w:ascii="Cambria Math" w:hAnsi="Cambria Math"/>
                <w:sz w:val="20"/>
                <w:szCs w:val="18"/>
              </w:rPr>
              <m:t>dIT</m:t>
            </m:r>
            <m:ctrlPr>
              <w:rPr>
                <w:rFonts w:hint="default" w:ascii="Cambria Math" w:hAnsi="Cambria Math"/>
                <w:i/>
                <w:sz w:val="20"/>
                <w:szCs w:val="18"/>
              </w:rPr>
            </m:ctrlPr>
          </m:sub>
        </m:sSub>
        <m:r>
          <m:rPr/>
          <w:rPr>
            <w:rFonts w:hint="default" w:ascii="Cambria Math" w:hAnsi="Cambria Math"/>
            <w:sz w:val="20"/>
            <w:szCs w:val="18"/>
          </w:rPr>
          <m:t>+8760×</m:t>
        </m:r>
        <m:sSub>
          <m:sSubPr>
            <m:ctrlPr>
              <w:rPr>
                <w:rFonts w:hint="default" w:ascii="Cambria Math" w:hAnsi="Cambria Math"/>
                <w:i/>
                <w:sz w:val="20"/>
                <w:szCs w:val="18"/>
              </w:rPr>
            </m:ctrlPr>
          </m:sSubPr>
          <m:e>
            <m:r>
              <m:rPr/>
              <w:rPr>
                <w:rFonts w:hint="default" w:ascii="Cambria Math" w:hAnsi="Cambria Math"/>
                <w:sz w:val="20"/>
                <w:szCs w:val="18"/>
              </w:rPr>
              <m:t>T</m:t>
            </m:r>
            <m:ctrlPr>
              <w:rPr>
                <w:rFonts w:hint="default" w:ascii="Cambria Math" w:hAnsi="Cambria Math"/>
                <w:i/>
                <w:sz w:val="20"/>
                <w:szCs w:val="18"/>
              </w:rPr>
            </m:ctrlPr>
          </m:e>
          <m:sub>
            <m:r>
              <m:rPr/>
              <w:rPr>
                <w:rFonts w:hint="default" w:ascii="Cambria Math" w:hAnsi="Cambria Math"/>
                <w:sz w:val="20"/>
                <w:szCs w:val="18"/>
              </w:rPr>
              <m:t>e</m:t>
            </m:r>
            <m:ctrlPr>
              <w:rPr>
                <w:rFonts w:hint="default" w:ascii="Cambria Math" w:hAnsi="Cambria Math"/>
                <w:i/>
                <w:sz w:val="20"/>
                <w:szCs w:val="18"/>
              </w:rPr>
            </m:ctrlPr>
          </m:sub>
        </m:sSub>
        <m:sSub>
          <m:sSubPr>
            <m:ctrlPr>
              <w:rPr>
                <w:rFonts w:hint="default" w:ascii="Cambria Math" w:hAnsi="Cambria Math"/>
                <w:i/>
                <w:sz w:val="20"/>
                <w:szCs w:val="18"/>
              </w:rPr>
            </m:ctrlPr>
          </m:sSubPr>
          <m:e>
            <m:r>
              <m:rPr/>
              <w:rPr>
                <w:rFonts w:hint="default" w:ascii="Cambria Math" w:hAnsi="Cambria Math"/>
                <w:sz w:val="20"/>
                <w:szCs w:val="18"/>
              </w:rPr>
              <m:t>P</m:t>
            </m:r>
            <m:ctrlPr>
              <w:rPr>
                <w:rFonts w:hint="default" w:ascii="Cambria Math" w:hAnsi="Cambria Math"/>
                <w:i/>
                <w:sz w:val="20"/>
                <w:szCs w:val="18"/>
              </w:rPr>
            </m:ctrlPr>
          </m:e>
          <m:sub>
            <m:r>
              <m:rPr/>
              <w:rPr>
                <w:rFonts w:hint="default" w:ascii="Cambria Math" w:hAnsi="Cambria Math"/>
                <w:sz w:val="20"/>
                <w:szCs w:val="18"/>
              </w:rPr>
              <m:t>eIT</m:t>
            </m:r>
            <m:ctrlPr>
              <w:rPr>
                <w:rFonts w:hint="default" w:ascii="Cambria Math" w:hAnsi="Cambria Math"/>
                <w:i/>
                <w:sz w:val="20"/>
                <w:szCs w:val="18"/>
              </w:rPr>
            </m:ctrlPr>
          </m:sub>
        </m:sSub>
      </m:oMath>
      <w:r>
        <w:rPr>
          <w:rStyle w:val="27"/>
          <w:rFonts w:hint="eastAsia" w:ascii="微软雅黑" w:hAnsi="微软雅黑" w:eastAsia="微软雅黑" w:cs="微软雅黑"/>
          <w:lang w:val="en-US" w:eastAsia="zh-CN"/>
        </w:rPr>
        <w:t>···</w:t>
      </w:r>
      <w:r>
        <w:rPr>
          <w:rFonts w:hint="eastAsia"/>
          <w:sz w:val="22"/>
          <w:szCs w:val="21"/>
          <w:lang w:eastAsia="zh-CN"/>
        </w:rPr>
        <w:t>（</w:t>
      </w:r>
      <w:r>
        <w:rPr>
          <w:rFonts w:hint="eastAsia"/>
          <w:sz w:val="22"/>
          <w:szCs w:val="21"/>
          <w:lang w:val="en-US" w:eastAsia="zh-CN"/>
        </w:rPr>
        <w:t>3</w:t>
      </w:r>
      <w:r>
        <w:rPr>
          <w:rFonts w:hint="eastAsia"/>
          <w:sz w:val="22"/>
          <w:szCs w:val="21"/>
          <w:lang w:eastAsia="zh-CN"/>
        </w:rPr>
        <w:t>）</w:t>
      </w:r>
    </w:p>
    <w:p>
      <w:pPr>
        <w:pStyle w:val="24"/>
        <w:ind w:firstLine="420"/>
        <w:rPr>
          <w:rFonts w:ascii="Cambria Math" w:hAnsi="Cambria Math"/>
          <w:szCs w:val="21"/>
        </w:rPr>
      </w:pPr>
      <w:r>
        <w:rPr>
          <w:rFonts w:hint="eastAsia" w:ascii="Cambria Math" w:hAnsi="Cambria Math"/>
          <w:szCs w:val="21"/>
        </w:rPr>
        <w:t>式中：</w:t>
      </w:r>
    </w:p>
    <w:p>
      <w:pPr>
        <w:bidi w:val="0"/>
        <w:rPr>
          <w:sz w:val="24"/>
          <w:szCs w:val="24"/>
        </w:rPr>
      </w:pPr>
      <w:r>
        <w:rPr>
          <w:rFonts w:hint="eastAsia"/>
          <w:sz w:val="24"/>
          <w:szCs w:val="24"/>
        </w:rPr>
        <w:t>E</w:t>
      </w:r>
      <w:r>
        <w:rPr>
          <w:rFonts w:hint="eastAsia"/>
          <w:sz w:val="24"/>
          <w:szCs w:val="24"/>
          <w:vertAlign w:val="subscript"/>
        </w:rPr>
        <w:t>CIT</w:t>
      </w:r>
      <w:r>
        <w:rPr>
          <w:rFonts w:hint="eastAsia"/>
          <w:sz w:val="24"/>
          <w:szCs w:val="24"/>
        </w:rPr>
        <w:t>——信息设备耗电量的校准值，单位为千瓦时（kW·h）。</w:t>
      </w:r>
    </w:p>
    <w:p>
      <w:pPr>
        <w:bidi w:val="0"/>
        <w:ind w:left="1957" w:leftChars="171" w:hanging="1478" w:hangingChars="616"/>
        <w:rPr>
          <w:rFonts w:hint="eastAsia"/>
          <w:sz w:val="24"/>
          <w:szCs w:val="24"/>
        </w:rPr>
      </w:pPr>
      <m:oMath>
        <m:sSub>
          <m:sSubPr>
            <m:ctrlPr>
              <w:rPr>
                <w:rFonts w:hint="default" w:ascii="Cambria Math" w:hAnsi="Cambria Math"/>
                <w:sz w:val="24"/>
                <w:szCs w:val="24"/>
              </w:rPr>
            </m:ctrlPr>
          </m:sSubPr>
          <m:e>
            <m:r>
              <m:rPr>
                <m:sty m:val="p"/>
              </m:rPr>
              <w:rPr>
                <w:rFonts w:hint="default" w:ascii="Cambria Math" w:hAnsi="Cambria Math"/>
                <w:sz w:val="24"/>
                <w:szCs w:val="24"/>
              </w:rPr>
              <m:t>P</m:t>
            </m:r>
            <m:ctrlPr>
              <w:rPr>
                <w:rFonts w:hint="default" w:ascii="Cambria Math" w:hAnsi="Cambria Math"/>
                <w:sz w:val="24"/>
                <w:szCs w:val="24"/>
              </w:rPr>
            </m:ctrlPr>
          </m:e>
          <m:sub>
            <m:r>
              <m:rPr>
                <m:sty m:val="p"/>
              </m:rPr>
              <w:rPr>
                <w:rFonts w:hint="default" w:ascii="Cambria Math" w:hAnsi="Cambria Math"/>
                <w:sz w:val="24"/>
                <w:szCs w:val="24"/>
              </w:rPr>
              <m:t>aIT</m:t>
            </m:r>
            <m:ctrlPr>
              <w:rPr>
                <w:rFonts w:hint="default" w:ascii="Cambria Math" w:hAnsi="Cambria Math"/>
                <w:sz w:val="24"/>
                <w:szCs w:val="24"/>
              </w:rPr>
            </m:ctrlPr>
          </m:sub>
        </m:sSub>
        <m:r>
          <m:rPr>
            <m:sty m:val="p"/>
          </m:rPr>
          <w:rPr>
            <w:rFonts w:hint="default" w:ascii="Cambria Math" w:hAnsi="Cambria Math"/>
            <w:sz w:val="24"/>
            <w:szCs w:val="24"/>
          </w:rPr>
          <m:t>~</m:t>
        </m:r>
        <m:sSub>
          <m:sSubPr>
            <m:ctrlPr>
              <w:rPr>
                <w:rFonts w:hint="default" w:ascii="Cambria Math" w:hAnsi="Cambria Math"/>
                <w:sz w:val="24"/>
                <w:szCs w:val="24"/>
              </w:rPr>
            </m:ctrlPr>
          </m:sSubPr>
          <m:e>
            <m:r>
              <m:rPr>
                <m:sty m:val="p"/>
              </m:rPr>
              <w:rPr>
                <w:rFonts w:hint="default" w:ascii="Cambria Math" w:hAnsi="Cambria Math"/>
                <w:sz w:val="24"/>
                <w:szCs w:val="24"/>
              </w:rPr>
              <m:t>P</m:t>
            </m:r>
            <m:ctrlPr>
              <w:rPr>
                <w:rFonts w:hint="default" w:ascii="Cambria Math" w:hAnsi="Cambria Math"/>
                <w:sz w:val="24"/>
                <w:szCs w:val="24"/>
              </w:rPr>
            </m:ctrlPr>
          </m:e>
          <m:sub>
            <m:r>
              <m:rPr>
                <m:sty m:val="p"/>
              </m:rPr>
              <w:rPr>
                <w:rFonts w:hint="eastAsia" w:ascii="Cambria Math" w:hAnsi="Cambria Math"/>
                <w:sz w:val="24"/>
                <w:szCs w:val="24"/>
              </w:rPr>
              <m:t>e</m:t>
            </m:r>
            <m:r>
              <m:rPr>
                <m:sty m:val="p"/>
              </m:rPr>
              <w:rPr>
                <w:rFonts w:hint="default" w:ascii="Cambria Math" w:hAnsi="Cambria Math"/>
                <w:sz w:val="24"/>
                <w:szCs w:val="24"/>
              </w:rPr>
              <m:t>IT</m:t>
            </m:r>
            <m:ctrlPr>
              <w:rPr>
                <w:rFonts w:hint="default" w:ascii="Cambria Math" w:hAnsi="Cambria Math"/>
                <w:sz w:val="24"/>
                <w:szCs w:val="24"/>
              </w:rPr>
            </m:ctrlPr>
          </m:sub>
        </m:sSub>
      </m:oMath>
      <w:r>
        <w:rPr>
          <w:rFonts w:hint="eastAsia"/>
          <w:sz w:val="24"/>
          <w:szCs w:val="24"/>
        </w:rPr>
        <w:t>——在表</w:t>
      </w:r>
      <w:r>
        <w:rPr>
          <w:sz w:val="24"/>
          <w:szCs w:val="24"/>
        </w:rPr>
        <w:t>2中a~e工况条件下测</w:t>
      </w:r>
      <w:r>
        <w:rPr>
          <w:rFonts w:hint="eastAsia"/>
          <w:sz w:val="24"/>
          <w:szCs w:val="24"/>
        </w:rPr>
        <w:t>算</w:t>
      </w:r>
      <w:r>
        <w:rPr>
          <w:sz w:val="24"/>
          <w:szCs w:val="24"/>
        </w:rPr>
        <w:t>的数据中心</w:t>
      </w:r>
      <w:r>
        <w:rPr>
          <w:rFonts w:hint="eastAsia"/>
          <w:sz w:val="24"/>
          <w:szCs w:val="24"/>
        </w:rPr>
        <w:t>信息设备功率，单位为千瓦（kW）；</w:t>
      </w:r>
    </w:p>
    <w:p>
      <w:pPr>
        <w:bidi w:val="0"/>
        <w:rPr>
          <w:sz w:val="24"/>
          <w:szCs w:val="24"/>
        </w:rPr>
      </w:pPr>
      <m:oMath>
        <m:sSub>
          <m:sSubPr>
            <m:ctrlPr>
              <w:rPr>
                <w:rFonts w:hint="default" w:ascii="Cambria Math" w:hAnsi="Cambria Math"/>
                <w:sz w:val="24"/>
                <w:szCs w:val="24"/>
              </w:rPr>
            </m:ctrlPr>
          </m:sSubPr>
          <m:e>
            <m:r>
              <m:rPr>
                <m:sty m:val="p"/>
              </m:rPr>
              <w:rPr>
                <w:rFonts w:hint="default" w:ascii="Cambria Math" w:hAnsi="Cambria Math"/>
                <w:sz w:val="24"/>
                <w:szCs w:val="24"/>
              </w:rPr>
              <m:t>T</m:t>
            </m:r>
            <m:ctrlPr>
              <w:rPr>
                <w:rFonts w:hint="default" w:ascii="Cambria Math" w:hAnsi="Cambria Math"/>
                <w:sz w:val="24"/>
                <w:szCs w:val="24"/>
              </w:rPr>
            </m:ctrlPr>
          </m:e>
          <m:sub>
            <m:r>
              <m:rPr>
                <m:sty m:val="p"/>
              </m:rPr>
              <w:rPr>
                <w:rFonts w:hint="default" w:ascii="Cambria Math" w:hAnsi="Cambria Math"/>
                <w:sz w:val="24"/>
                <w:szCs w:val="24"/>
              </w:rPr>
              <m:t>a</m:t>
            </m:r>
            <m:ctrlPr>
              <w:rPr>
                <w:rFonts w:hint="default" w:ascii="Cambria Math" w:hAnsi="Cambria Math"/>
                <w:sz w:val="24"/>
                <w:szCs w:val="24"/>
              </w:rPr>
            </m:ctrlPr>
          </m:sub>
        </m:sSub>
        <m:r>
          <m:rPr>
            <m:sty m:val="p"/>
          </m:rPr>
          <w:rPr>
            <w:rFonts w:hint="default" w:ascii="Cambria Math" w:hAnsi="Cambria Math"/>
            <w:sz w:val="24"/>
            <w:szCs w:val="24"/>
          </w:rPr>
          <m:t>~</m:t>
        </m:r>
        <m:sSub>
          <m:sSubPr>
            <m:ctrlPr>
              <w:rPr>
                <w:rFonts w:hint="default" w:ascii="Cambria Math" w:hAnsi="Cambria Math"/>
                <w:sz w:val="24"/>
                <w:szCs w:val="24"/>
              </w:rPr>
            </m:ctrlPr>
          </m:sSubPr>
          <m:e>
            <m:r>
              <m:rPr>
                <m:sty m:val="p"/>
              </m:rPr>
              <w:rPr>
                <w:rFonts w:hint="default" w:ascii="Cambria Math" w:hAnsi="Cambria Math"/>
                <w:sz w:val="24"/>
                <w:szCs w:val="24"/>
              </w:rPr>
              <m:t>T</m:t>
            </m:r>
            <m:ctrlPr>
              <w:rPr>
                <w:rFonts w:hint="default" w:ascii="Cambria Math" w:hAnsi="Cambria Math"/>
                <w:sz w:val="24"/>
                <w:szCs w:val="24"/>
              </w:rPr>
            </m:ctrlPr>
          </m:e>
          <m:sub>
            <m:r>
              <m:rPr>
                <m:sty m:val="p"/>
              </m:rPr>
              <w:rPr>
                <w:rFonts w:hint="eastAsia" w:ascii="Cambria Math" w:hAnsi="Cambria Math"/>
                <w:sz w:val="24"/>
                <w:szCs w:val="24"/>
              </w:rPr>
              <m:t>e</m:t>
            </m:r>
            <m:ctrlPr>
              <w:rPr>
                <w:rFonts w:hint="default" w:ascii="Cambria Math" w:hAnsi="Cambria Math"/>
                <w:sz w:val="24"/>
                <w:szCs w:val="24"/>
              </w:rPr>
            </m:ctrlPr>
          </m:sub>
        </m:sSub>
      </m:oMath>
      <w:r>
        <w:rPr>
          <w:rFonts w:hint="eastAsia"/>
          <w:sz w:val="24"/>
          <w:szCs w:val="24"/>
        </w:rPr>
        <w:t>——温度分布系数，无因次；具体数值见附录A；</w:t>
      </w:r>
    </w:p>
    <w:p>
      <w:pPr>
        <w:bidi w:val="0"/>
        <w:rPr>
          <w:rFonts w:hint="eastAsia"/>
          <w:sz w:val="24"/>
          <w:szCs w:val="24"/>
          <w:lang w:eastAsia="zh-CN"/>
        </w:rPr>
      </w:pPr>
      <w:r>
        <w:rPr>
          <w:sz w:val="24"/>
          <w:szCs w:val="24"/>
        </w:rPr>
        <w:t>8760</w:t>
      </w:r>
      <w:r>
        <w:rPr>
          <w:rFonts w:hint="eastAsia"/>
          <w:sz w:val="24"/>
          <w:szCs w:val="24"/>
        </w:rPr>
        <w:t>——全年小时数，单位为小时（</w:t>
      </w:r>
      <w:r>
        <w:rPr>
          <w:sz w:val="24"/>
          <w:szCs w:val="24"/>
        </w:rPr>
        <w:t>h</w:t>
      </w:r>
      <w:r>
        <w:rPr>
          <w:rFonts w:hint="eastAsia"/>
          <w:sz w:val="24"/>
          <w:szCs w:val="24"/>
        </w:rPr>
        <w:t>）</w:t>
      </w:r>
      <w:r>
        <w:rPr>
          <w:rFonts w:hint="eastAsia"/>
          <w:sz w:val="24"/>
          <w:szCs w:val="24"/>
          <w:lang w:eastAsia="zh-CN"/>
        </w:rPr>
        <w:t>。</w:t>
      </w:r>
    </w:p>
    <w:p>
      <w:pPr>
        <w:pStyle w:val="2"/>
        <w:ind w:left="0" w:leftChars="0" w:firstLine="720" w:firstLineChars="300"/>
        <w:rPr>
          <w:rFonts w:hint="eastAsia"/>
          <w:kern w:val="2"/>
          <w:sz w:val="24"/>
          <w:szCs w:val="20"/>
          <w:lang w:val="en-US" w:eastAsia="zh-CN"/>
        </w:rPr>
      </w:pPr>
      <w:r>
        <w:rPr>
          <w:rFonts w:hint="eastAsia"/>
          <w:sz w:val="24"/>
          <w:szCs w:val="22"/>
          <w:lang w:val="en-US" w:eastAsia="zh-CN"/>
        </w:rPr>
        <w:t xml:space="preserve">注：温度分布系数 </w:t>
      </w:r>
      <m:oMath>
        <m:sSub>
          <m:sSubPr>
            <m:ctrlPr>
              <w:rPr>
                <w:rFonts w:hint="default" w:ascii="Cambria Math" w:hAnsi="Cambria Math"/>
                <w:sz w:val="22"/>
                <w:szCs w:val="22"/>
              </w:rPr>
            </m:ctrlPr>
          </m:sSubPr>
          <m:e>
            <m:r>
              <m:rPr>
                <m:sty m:val="p"/>
              </m:rPr>
              <w:rPr>
                <w:rFonts w:hint="default" w:ascii="Cambria Math" w:hAnsi="Cambria Math"/>
                <w:sz w:val="22"/>
                <w:szCs w:val="22"/>
              </w:rPr>
              <m:t>T</m:t>
            </m:r>
            <m:ctrlPr>
              <w:rPr>
                <w:rFonts w:hint="default" w:ascii="Cambria Math" w:hAnsi="Cambria Math"/>
                <w:sz w:val="22"/>
                <w:szCs w:val="22"/>
              </w:rPr>
            </m:ctrlPr>
          </m:e>
          <m:sub>
            <m:r>
              <m:rPr>
                <m:sty m:val="p"/>
              </m:rPr>
              <w:rPr>
                <w:rFonts w:hint="default" w:ascii="Cambria Math" w:hAnsi="Cambria Math"/>
                <w:sz w:val="22"/>
                <w:szCs w:val="22"/>
              </w:rPr>
              <m:t>a</m:t>
            </m:r>
            <m:ctrlPr>
              <w:rPr>
                <w:rFonts w:hint="default" w:ascii="Cambria Math" w:hAnsi="Cambria Math"/>
                <w:sz w:val="22"/>
                <w:szCs w:val="22"/>
              </w:rPr>
            </m:ctrlPr>
          </m:sub>
        </m:sSub>
        <m:r>
          <m:rPr>
            <m:sty m:val="p"/>
          </m:rPr>
          <w:rPr>
            <w:rFonts w:hint="default" w:ascii="Cambria Math" w:hAnsi="Cambria Math"/>
            <w:sz w:val="22"/>
            <w:szCs w:val="22"/>
          </w:rPr>
          <m:t>~</m:t>
        </m:r>
        <m:sSub>
          <m:sSubPr>
            <m:ctrlPr>
              <w:rPr>
                <w:rFonts w:hint="default" w:ascii="Cambria Math" w:hAnsi="Cambria Math"/>
                <w:sz w:val="22"/>
                <w:szCs w:val="22"/>
              </w:rPr>
            </m:ctrlPr>
          </m:sSubPr>
          <m:e>
            <m:r>
              <m:rPr>
                <m:sty m:val="p"/>
              </m:rPr>
              <w:rPr>
                <w:rFonts w:hint="default" w:ascii="Cambria Math" w:hAnsi="Cambria Math"/>
                <w:sz w:val="22"/>
                <w:szCs w:val="22"/>
              </w:rPr>
              <m:t>T</m:t>
            </m:r>
            <m:ctrlPr>
              <w:rPr>
                <w:rFonts w:hint="default" w:ascii="Cambria Math" w:hAnsi="Cambria Math"/>
                <w:sz w:val="22"/>
                <w:szCs w:val="22"/>
              </w:rPr>
            </m:ctrlPr>
          </m:e>
          <m:sub>
            <m:r>
              <m:rPr>
                <m:sty m:val="p"/>
              </m:rPr>
              <w:rPr>
                <w:rFonts w:hint="eastAsia" w:ascii="Cambria Math" w:hAnsi="Cambria Math"/>
                <w:sz w:val="22"/>
                <w:szCs w:val="22"/>
              </w:rPr>
              <m:t>e</m:t>
            </m:r>
            <m:ctrlPr>
              <w:rPr>
                <w:rFonts w:hint="default" w:ascii="Cambria Math" w:hAnsi="Cambria Math"/>
                <w:sz w:val="22"/>
                <w:szCs w:val="22"/>
              </w:rPr>
            </m:ctrlPr>
          </m:sub>
        </m:sSub>
      </m:oMath>
      <w:r>
        <w:rPr>
          <w:rFonts w:hint="eastAsia" w:ascii="Cambria Math" w:hAnsi="Cambria Math"/>
          <w:i w:val="0"/>
          <w:sz w:val="22"/>
          <w:szCs w:val="22"/>
          <w:lang w:val="en-US" w:eastAsia="zh-CN"/>
        </w:rPr>
        <w:t xml:space="preserve"> </w:t>
      </w:r>
      <w:r>
        <w:rPr>
          <w:rFonts w:hint="eastAsia"/>
          <w:sz w:val="24"/>
          <w:szCs w:val="22"/>
          <w:lang w:val="en-US" w:eastAsia="zh-CN"/>
        </w:rPr>
        <w:t>表示每个特性工况点所代表的温度区间在某地区全年温度分布的时间占比。</w:t>
      </w:r>
    </w:p>
    <w:p>
      <w:pPr>
        <w:pStyle w:val="2"/>
        <w:numPr>
          <w:ilvl w:val="0"/>
          <w:numId w:val="7"/>
        </w:numPr>
        <w:rPr>
          <w:rFonts w:hint="default"/>
          <w:b/>
          <w:bCs/>
          <w:lang w:val="en-US" w:eastAsia="zh-CN"/>
        </w:rPr>
      </w:pPr>
      <w:r>
        <w:rPr>
          <w:rFonts w:hint="default"/>
          <w:b/>
          <w:bCs/>
          <w:lang w:val="en-US" w:eastAsia="zh-CN"/>
        </w:rPr>
        <w:t>数据中心电能比测算值</w:t>
      </w:r>
    </w:p>
    <w:p>
      <w:pPr>
        <w:bidi w:val="0"/>
        <w:rPr>
          <w:rFonts w:hint="eastAsia"/>
          <w:lang w:val="en-US" w:eastAsia="zh-CN"/>
        </w:rPr>
      </w:pPr>
      <w:r>
        <w:rPr>
          <w:rFonts w:ascii="Times New Roman"/>
          <w:kern w:val="2"/>
          <w:szCs w:val="21"/>
        </w:rPr>
        <w:t>数据中心</w:t>
      </w:r>
      <w:r>
        <w:rPr>
          <w:rFonts w:hint="eastAsia"/>
        </w:rPr>
        <w:t>电能比测算值按照公式（</w:t>
      </w:r>
      <w:r>
        <w:rPr>
          <w:rFonts w:hint="eastAsia"/>
          <w:lang w:val="en-US" w:eastAsia="zh-CN"/>
        </w:rPr>
        <w:t>4.1</w:t>
      </w:r>
      <w:r>
        <w:rPr>
          <w:rFonts w:hint="eastAsia"/>
        </w:rPr>
        <w:t>）、公式（</w:t>
      </w:r>
      <w:r>
        <w:rPr>
          <w:rFonts w:hint="eastAsia"/>
          <w:lang w:val="en-US" w:eastAsia="zh-CN"/>
        </w:rPr>
        <w:t>4.2</w:t>
      </w:r>
      <w:r>
        <w:rPr>
          <w:rFonts w:hint="eastAsia"/>
        </w:rPr>
        <w:t>）计算</w:t>
      </w:r>
    </w:p>
    <w:p>
      <w:pPr>
        <w:ind w:firstLine="2640" w:firstLineChars="1100"/>
        <w:rPr>
          <w:rFonts w:hint="eastAsia"/>
          <w:sz w:val="24"/>
          <w:szCs w:val="22"/>
          <w:lang w:val="en-US" w:eastAsia="zh-CN"/>
        </w:rPr>
      </w:pPr>
      <m:oMath>
        <m:sSub>
          <m:sSubPr>
            <m:ctrlPr>
              <w:rPr>
                <w:rFonts w:hint="default" w:ascii="Cambria Math" w:hAnsi="Cambria Math"/>
                <w:sz w:val="24"/>
                <w:szCs w:val="22"/>
              </w:rPr>
            </m:ctrlPr>
          </m:sSubPr>
          <m:e>
            <m:r>
              <m:rPr/>
              <w:rPr>
                <w:rFonts w:hint="default" w:ascii="Cambria Math" w:hAnsi="Cambria Math"/>
                <w:sz w:val="24"/>
                <w:szCs w:val="22"/>
              </w:rPr>
              <m:t>R</m:t>
            </m:r>
            <m:ctrlPr>
              <w:rPr>
                <w:rFonts w:hint="default" w:ascii="Cambria Math" w:hAnsi="Cambria Math"/>
                <w:sz w:val="24"/>
                <w:szCs w:val="22"/>
              </w:rPr>
            </m:ctrlPr>
          </m:e>
          <m:sub>
            <m:r>
              <m:rPr/>
              <w:rPr>
                <w:rFonts w:hint="default" w:ascii="Cambria Math" w:hAnsi="Cambria Math"/>
                <w:sz w:val="24"/>
                <w:szCs w:val="22"/>
              </w:rPr>
              <m:t>M1</m:t>
            </m:r>
            <m:ctrlPr>
              <w:rPr>
                <w:rFonts w:hint="default" w:ascii="Cambria Math" w:hAnsi="Cambria Math"/>
                <w:sz w:val="24"/>
                <w:szCs w:val="22"/>
              </w:rPr>
            </m:ctrlPr>
          </m:sub>
        </m:sSub>
        <m:r>
          <m:rPr/>
          <w:rPr>
            <w:rFonts w:hint="default" w:ascii="Cambria Math" w:hAnsi="Cambria Math"/>
            <w:sz w:val="24"/>
            <w:szCs w:val="22"/>
          </w:rPr>
          <m:t>=</m:t>
        </m:r>
        <m:f>
          <m:fPr>
            <m:ctrlPr>
              <w:rPr>
                <w:rFonts w:hint="default" w:ascii="Cambria Math" w:hAnsi="Cambria Math"/>
                <w:i/>
                <w:sz w:val="24"/>
                <w:szCs w:val="22"/>
              </w:rPr>
            </m:ctrlPr>
          </m:fPr>
          <m:num>
            <m:sSub>
              <m:sSubPr>
                <m:ctrlPr>
                  <w:rPr>
                    <w:rFonts w:hint="default" w:ascii="Cambria Math" w:hAnsi="Cambria Math"/>
                    <w:i/>
                    <w:sz w:val="24"/>
                    <w:szCs w:val="22"/>
                  </w:rPr>
                </m:ctrlPr>
              </m:sSubPr>
              <m:e>
                <m:r>
                  <m:rPr/>
                  <w:rPr>
                    <w:rFonts w:hint="default" w:ascii="Cambria Math" w:hAnsi="Cambria Math"/>
                    <w:sz w:val="24"/>
                    <w:szCs w:val="22"/>
                  </w:rPr>
                  <m:t>E</m:t>
                </m:r>
                <m:ctrlPr>
                  <w:rPr>
                    <w:rFonts w:hint="default" w:ascii="Cambria Math" w:hAnsi="Cambria Math"/>
                    <w:i/>
                    <w:sz w:val="24"/>
                    <w:szCs w:val="22"/>
                  </w:rPr>
                </m:ctrlPr>
              </m:e>
              <m:sub>
                <m:r>
                  <m:rPr/>
                  <w:rPr>
                    <w:rFonts w:hint="default" w:ascii="Cambria Math" w:hAnsi="Cambria Math"/>
                    <w:sz w:val="24"/>
                    <w:szCs w:val="22"/>
                  </w:rPr>
                  <m:t>C</m:t>
                </m:r>
                <m:ctrlPr>
                  <w:rPr>
                    <w:rFonts w:hint="default" w:ascii="Cambria Math" w:hAnsi="Cambria Math"/>
                    <w:i/>
                    <w:sz w:val="24"/>
                    <w:szCs w:val="22"/>
                  </w:rPr>
                </m:ctrlPr>
              </m:sub>
            </m:sSub>
            <m:ctrlPr>
              <w:rPr>
                <w:rFonts w:hint="default" w:ascii="Cambria Math" w:hAnsi="Cambria Math"/>
                <w:i/>
                <w:sz w:val="24"/>
                <w:szCs w:val="22"/>
              </w:rPr>
            </m:ctrlPr>
          </m:num>
          <m:den>
            <m:sSub>
              <m:sSubPr>
                <m:ctrlPr>
                  <w:rPr>
                    <w:rFonts w:hint="default" w:ascii="Cambria Math" w:hAnsi="Cambria Math"/>
                    <w:i/>
                    <w:sz w:val="24"/>
                    <w:szCs w:val="22"/>
                  </w:rPr>
                </m:ctrlPr>
              </m:sSubPr>
              <m:e>
                <m:r>
                  <m:rPr/>
                  <w:rPr>
                    <w:rFonts w:hint="default" w:ascii="Cambria Math" w:hAnsi="Cambria Math"/>
                    <w:sz w:val="24"/>
                    <w:szCs w:val="22"/>
                  </w:rPr>
                  <m:t>E</m:t>
                </m:r>
                <m:ctrlPr>
                  <w:rPr>
                    <w:rFonts w:hint="default" w:ascii="Cambria Math" w:hAnsi="Cambria Math"/>
                    <w:i/>
                    <w:sz w:val="24"/>
                    <w:szCs w:val="22"/>
                  </w:rPr>
                </m:ctrlPr>
              </m:e>
              <m:sub>
                <m:r>
                  <m:rPr/>
                  <w:rPr>
                    <w:rFonts w:hint="default" w:ascii="Cambria Math" w:hAnsi="Cambria Math"/>
                    <w:sz w:val="24"/>
                    <w:szCs w:val="22"/>
                  </w:rPr>
                  <m:t>CIT</m:t>
                </m:r>
                <m:ctrlPr>
                  <w:rPr>
                    <w:rFonts w:hint="default" w:ascii="Cambria Math" w:hAnsi="Cambria Math"/>
                    <w:i/>
                    <w:sz w:val="24"/>
                    <w:szCs w:val="22"/>
                  </w:rPr>
                </m:ctrlPr>
              </m:sub>
            </m:sSub>
            <m:ctrlPr>
              <w:rPr>
                <w:rFonts w:hint="default" w:ascii="Cambria Math" w:hAnsi="Cambria Math"/>
                <w:i/>
                <w:sz w:val="24"/>
                <w:szCs w:val="22"/>
              </w:rPr>
            </m:ctrlPr>
          </m:den>
        </m:f>
      </m:oMath>
      <w:r>
        <w:rPr>
          <w:rStyle w:val="27"/>
          <w:rFonts w:hint="eastAsia" w:ascii="微软雅黑" w:hAnsi="微软雅黑" w:eastAsia="微软雅黑" w:cs="微软雅黑"/>
          <w:lang w:val="en-US" w:eastAsia="zh-CN"/>
        </w:rPr>
        <w:t>························································</w:t>
      </w:r>
      <w:r>
        <w:rPr>
          <w:rFonts w:hint="eastAsia"/>
          <w:sz w:val="24"/>
          <w:szCs w:val="22"/>
          <w:lang w:val="en-US" w:eastAsia="zh-CN"/>
        </w:rPr>
        <w:t>（4.1）</w:t>
      </w:r>
    </w:p>
    <w:p>
      <w:pPr>
        <w:bidi w:val="0"/>
        <w:rPr>
          <w:sz w:val="21"/>
          <w:szCs w:val="21"/>
        </w:rPr>
      </w:pPr>
      <w:r>
        <w:rPr>
          <w:rFonts w:hint="eastAsia"/>
          <w:sz w:val="21"/>
          <w:szCs w:val="21"/>
        </w:rPr>
        <w:t>式中：</w:t>
      </w:r>
    </w:p>
    <w:p>
      <w:pPr>
        <w:bidi w:val="0"/>
        <w:ind w:left="1680" w:leftChars="300" w:hanging="840" w:hangingChars="400"/>
        <w:rPr>
          <w:sz w:val="21"/>
          <w:szCs w:val="21"/>
        </w:rPr>
      </w:pPr>
      <m:oMath>
        <m:r>
          <m:rPr>
            <m:sty m:val="p"/>
          </m:rPr>
          <w:rPr>
            <w:rFonts w:hint="default" w:ascii="Cambria Math" w:hAnsi="Cambria Math"/>
            <w:sz w:val="21"/>
            <w:szCs w:val="21"/>
          </w:rPr>
          <m:t>R</m:t>
        </m:r>
      </m:oMath>
      <w:r>
        <w:rPr>
          <w:rFonts w:hint="eastAsia"/>
          <w:sz w:val="21"/>
          <w:szCs w:val="21"/>
          <w:vertAlign w:val="subscript"/>
        </w:rPr>
        <w:t>M</w:t>
      </w:r>
      <w:r>
        <w:rPr>
          <w:sz w:val="21"/>
          <w:szCs w:val="21"/>
          <w:vertAlign w:val="subscript"/>
        </w:rPr>
        <w:t>1</w:t>
      </w:r>
      <w:r>
        <w:rPr>
          <w:rFonts w:hint="eastAsia"/>
          <w:sz w:val="21"/>
          <w:szCs w:val="21"/>
        </w:rPr>
        <w:t>——按</w:t>
      </w:r>
      <w:r>
        <w:rPr>
          <w:sz w:val="21"/>
          <w:szCs w:val="21"/>
        </w:rPr>
        <w:t>5</w:t>
      </w:r>
      <w:r>
        <w:rPr>
          <w:rFonts w:hint="eastAsia"/>
          <w:sz w:val="21"/>
          <w:szCs w:val="21"/>
        </w:rPr>
        <w:t>个特性工况点方法测算的数据中心电能比特性工况法测算值，无因次。</w:t>
      </w:r>
    </w:p>
    <w:p>
      <w:pPr>
        <w:bidi w:val="0"/>
        <w:ind w:left="0" w:leftChars="0" w:firstLine="840" w:firstLineChars="400"/>
        <w:rPr>
          <w:sz w:val="21"/>
          <w:szCs w:val="21"/>
        </w:rPr>
      </w:pPr>
      <w:r>
        <w:rPr>
          <w:rFonts w:hint="eastAsia"/>
          <w:sz w:val="21"/>
          <w:szCs w:val="21"/>
        </w:rPr>
        <w:t>E</w:t>
      </w:r>
      <w:r>
        <w:rPr>
          <w:rFonts w:hint="eastAsia"/>
          <w:sz w:val="21"/>
          <w:szCs w:val="21"/>
          <w:vertAlign w:val="subscript"/>
        </w:rPr>
        <w:t>C</w:t>
      </w:r>
      <w:r>
        <w:rPr>
          <w:rFonts w:hint="eastAsia"/>
          <w:sz w:val="21"/>
          <w:szCs w:val="21"/>
        </w:rPr>
        <w:t>——</w:t>
      </w:r>
      <w:r>
        <w:rPr>
          <w:sz w:val="21"/>
          <w:szCs w:val="21"/>
        </w:rPr>
        <w:t>总</w:t>
      </w:r>
      <w:r>
        <w:rPr>
          <w:rFonts w:hint="eastAsia"/>
          <w:sz w:val="21"/>
          <w:szCs w:val="21"/>
        </w:rPr>
        <w:t>耗电量的校准值，单位为千瓦时（kW·h）。</w:t>
      </w:r>
    </w:p>
    <w:p>
      <w:pPr>
        <w:bidi w:val="0"/>
        <w:ind w:left="0" w:leftChars="0" w:firstLine="840" w:firstLineChars="400"/>
        <w:rPr>
          <w:rFonts w:hint="eastAsia" w:ascii="Times New Roman"/>
          <w:kern w:val="2"/>
          <w:szCs w:val="18"/>
        </w:rPr>
      </w:pPr>
      <w:r>
        <w:rPr>
          <w:rFonts w:hint="eastAsia"/>
          <w:sz w:val="21"/>
          <w:szCs w:val="21"/>
        </w:rPr>
        <w:t>E</w:t>
      </w:r>
      <w:r>
        <w:rPr>
          <w:rFonts w:hint="eastAsia"/>
          <w:sz w:val="21"/>
          <w:szCs w:val="21"/>
          <w:vertAlign w:val="subscript"/>
        </w:rPr>
        <w:t>CIT</w:t>
      </w:r>
      <w:r>
        <w:rPr>
          <w:rFonts w:hint="eastAsia"/>
          <w:sz w:val="21"/>
          <w:szCs w:val="21"/>
          <w:lang w:val="en-US" w:eastAsia="zh-CN"/>
        </w:rPr>
        <w:t>——信息设备耗电量的校准值，单位为千瓦时（kW·h）。</w:t>
      </w:r>
    </w:p>
    <w:p>
      <w:pPr>
        <w:pStyle w:val="2"/>
        <w:ind w:left="0" w:leftChars="0" w:firstLine="2640" w:firstLineChars="1100"/>
        <w:rPr>
          <w:rFonts w:hint="eastAsia"/>
          <w:sz w:val="24"/>
          <w:szCs w:val="22"/>
          <w:lang w:val="en-US" w:eastAsia="zh-CN"/>
        </w:rPr>
      </w:pPr>
      <m:oMath>
        <m:sSub>
          <m:sSubPr>
            <m:ctrlPr>
              <w:rPr>
                <w:rFonts w:hint="default" w:ascii="Cambria Math" w:hAnsi="Cambria Math"/>
                <w:sz w:val="24"/>
                <w:szCs w:val="22"/>
              </w:rPr>
            </m:ctrlPr>
          </m:sSubPr>
          <m:e>
            <m:r>
              <m:rPr/>
              <w:rPr>
                <w:rFonts w:hint="default" w:ascii="Cambria Math" w:hAnsi="Cambria Math"/>
                <w:sz w:val="24"/>
                <w:szCs w:val="22"/>
              </w:rPr>
              <m:t>R</m:t>
            </m:r>
            <m:ctrlPr>
              <w:rPr>
                <w:rFonts w:hint="default" w:ascii="Cambria Math" w:hAnsi="Cambria Math"/>
                <w:sz w:val="24"/>
                <w:szCs w:val="22"/>
              </w:rPr>
            </m:ctrlPr>
          </m:e>
          <m:sub>
            <m:r>
              <m:rPr/>
              <w:rPr>
                <w:rFonts w:hint="default" w:ascii="Cambria Math" w:hAnsi="Cambria Math"/>
                <w:sz w:val="24"/>
                <w:szCs w:val="22"/>
              </w:rPr>
              <m:t>M2</m:t>
            </m:r>
            <m:ctrlPr>
              <w:rPr>
                <w:rFonts w:hint="default" w:ascii="Cambria Math" w:hAnsi="Cambria Math"/>
                <w:sz w:val="24"/>
                <w:szCs w:val="22"/>
              </w:rPr>
            </m:ctrlPr>
          </m:sub>
        </m:sSub>
        <m:r>
          <m:rPr/>
          <w:rPr>
            <w:rFonts w:hint="default" w:ascii="Cambria Math" w:hAnsi="Cambria Math"/>
            <w:sz w:val="24"/>
            <w:szCs w:val="22"/>
          </w:rPr>
          <m:t>=</m:t>
        </m:r>
        <m:f>
          <m:fPr>
            <m:ctrlPr>
              <w:rPr>
                <w:rFonts w:hint="default" w:ascii="Cambria Math" w:hAnsi="Cambria Math"/>
                <w:i/>
                <w:sz w:val="24"/>
                <w:szCs w:val="22"/>
              </w:rPr>
            </m:ctrlPr>
          </m:fPr>
          <m:num>
            <m:r>
              <m:rPr/>
              <w:rPr>
                <w:rFonts w:hint="default" w:ascii="Cambria Math" w:hAnsi="Cambria Math"/>
                <w:sz w:val="24"/>
                <w:szCs w:val="22"/>
              </w:rPr>
              <m:t>E</m:t>
            </m:r>
            <m:ctrlPr>
              <w:rPr>
                <w:rFonts w:hint="default" w:ascii="Cambria Math" w:hAnsi="Cambria Math"/>
                <w:i/>
                <w:sz w:val="24"/>
                <w:szCs w:val="22"/>
              </w:rPr>
            </m:ctrlPr>
          </m:num>
          <m:den>
            <m:sSub>
              <m:sSubPr>
                <m:ctrlPr>
                  <w:rPr>
                    <w:rFonts w:hint="default" w:ascii="Cambria Math" w:hAnsi="Cambria Math"/>
                    <w:i/>
                    <w:sz w:val="24"/>
                    <w:szCs w:val="22"/>
                  </w:rPr>
                </m:ctrlPr>
              </m:sSubPr>
              <m:e>
                <m:r>
                  <m:rPr/>
                  <w:rPr>
                    <w:rFonts w:hint="default" w:ascii="Cambria Math" w:hAnsi="Cambria Math"/>
                    <w:sz w:val="24"/>
                    <w:szCs w:val="22"/>
                  </w:rPr>
                  <m:t>E</m:t>
                </m:r>
                <m:ctrlPr>
                  <w:rPr>
                    <w:rFonts w:hint="default" w:ascii="Cambria Math" w:hAnsi="Cambria Math"/>
                    <w:i/>
                    <w:sz w:val="24"/>
                    <w:szCs w:val="22"/>
                  </w:rPr>
                </m:ctrlPr>
              </m:e>
              <m:sub>
                <m:r>
                  <m:rPr/>
                  <w:rPr>
                    <w:rFonts w:hint="default" w:ascii="Cambria Math" w:hAnsi="Cambria Math"/>
                    <w:sz w:val="24"/>
                    <w:szCs w:val="22"/>
                  </w:rPr>
                  <m:t>IT</m:t>
                </m:r>
                <m:ctrlPr>
                  <w:rPr>
                    <w:rFonts w:hint="default" w:ascii="Cambria Math" w:hAnsi="Cambria Math"/>
                    <w:i/>
                    <w:sz w:val="24"/>
                    <w:szCs w:val="22"/>
                  </w:rPr>
                </m:ctrlPr>
              </m:sub>
            </m:sSub>
            <m:ctrlPr>
              <w:rPr>
                <w:rFonts w:hint="default" w:ascii="Cambria Math" w:hAnsi="Cambria Math"/>
                <w:i/>
                <w:sz w:val="24"/>
                <w:szCs w:val="22"/>
              </w:rPr>
            </m:ctrlPr>
          </m:den>
        </m:f>
      </m:oMath>
      <w:r>
        <w:rPr>
          <w:rStyle w:val="27"/>
          <w:rFonts w:hint="eastAsia" w:ascii="微软雅黑" w:hAnsi="微软雅黑" w:eastAsia="微软雅黑" w:cs="微软雅黑"/>
          <w:lang w:val="en-US" w:eastAsia="zh-CN"/>
        </w:rPr>
        <w:t>························································</w:t>
      </w:r>
      <w:r>
        <w:rPr>
          <w:rFonts w:hint="eastAsia"/>
          <w:sz w:val="24"/>
          <w:szCs w:val="22"/>
          <w:lang w:val="en-US" w:eastAsia="zh-CN"/>
        </w:rPr>
        <w:t>（4.2）</w:t>
      </w:r>
    </w:p>
    <w:p>
      <w:pPr>
        <w:bidi w:val="0"/>
        <w:rPr>
          <w:sz w:val="21"/>
          <w:szCs w:val="21"/>
        </w:rPr>
      </w:pPr>
      <w:r>
        <w:rPr>
          <w:rFonts w:hint="eastAsia"/>
          <w:sz w:val="21"/>
          <w:szCs w:val="21"/>
        </w:rPr>
        <w:t>式中：</w:t>
      </w:r>
    </w:p>
    <w:p>
      <w:pPr>
        <w:bidi w:val="0"/>
        <w:ind w:left="1680" w:leftChars="300" w:hanging="840" w:hangingChars="400"/>
        <w:rPr>
          <w:sz w:val="21"/>
          <w:szCs w:val="21"/>
        </w:rPr>
      </w:pPr>
      <m:oMath>
        <m:r>
          <m:rPr>
            <m:sty m:val="p"/>
          </m:rPr>
          <w:rPr>
            <w:rFonts w:hint="default" w:ascii="Cambria Math" w:hAnsi="Cambria Math"/>
            <w:sz w:val="21"/>
            <w:szCs w:val="21"/>
          </w:rPr>
          <m:t>R</m:t>
        </m:r>
      </m:oMath>
      <w:r>
        <w:rPr>
          <w:rFonts w:hint="eastAsia"/>
          <w:sz w:val="21"/>
          <w:szCs w:val="21"/>
          <w:vertAlign w:val="subscript"/>
        </w:rPr>
        <w:t>M</w:t>
      </w:r>
      <w:r>
        <w:rPr>
          <w:rFonts w:hint="eastAsia"/>
          <w:sz w:val="21"/>
          <w:szCs w:val="21"/>
          <w:vertAlign w:val="subscript"/>
          <w:lang w:val="en-US" w:eastAsia="zh-CN"/>
        </w:rPr>
        <w:t>2</w:t>
      </w:r>
      <w:r>
        <w:rPr>
          <w:rFonts w:hint="eastAsia"/>
          <w:sz w:val="21"/>
          <w:szCs w:val="21"/>
        </w:rPr>
        <w:t>——按</w:t>
      </w:r>
      <w:r>
        <w:rPr>
          <w:sz w:val="21"/>
          <w:szCs w:val="21"/>
        </w:rPr>
        <w:t>5</w:t>
      </w:r>
      <w:r>
        <w:rPr>
          <w:rFonts w:hint="eastAsia"/>
          <w:sz w:val="21"/>
          <w:szCs w:val="21"/>
        </w:rPr>
        <w:t>个特性工况点方法测算的数据中心电能比特性工况法测算值，无因次。</w:t>
      </w:r>
    </w:p>
    <w:p>
      <w:pPr>
        <w:bidi w:val="0"/>
        <w:ind w:left="0" w:leftChars="0" w:firstLine="840" w:firstLineChars="400"/>
        <w:rPr>
          <w:sz w:val="21"/>
          <w:szCs w:val="21"/>
        </w:rPr>
      </w:pPr>
      <w:r>
        <w:rPr>
          <w:rFonts w:hint="eastAsia"/>
          <w:sz w:val="21"/>
          <w:szCs w:val="21"/>
        </w:rPr>
        <w:t>E——</w:t>
      </w:r>
      <w:r>
        <w:rPr>
          <w:sz w:val="21"/>
          <w:szCs w:val="21"/>
        </w:rPr>
        <w:t>总</w:t>
      </w:r>
      <w:r>
        <w:rPr>
          <w:rFonts w:hint="eastAsia"/>
          <w:sz w:val="21"/>
          <w:szCs w:val="21"/>
        </w:rPr>
        <w:t>耗电量的校准值，单位为千瓦时（kW·h）。</w:t>
      </w:r>
    </w:p>
    <w:p>
      <w:pPr>
        <w:bidi w:val="0"/>
        <w:ind w:left="0" w:leftChars="0" w:firstLine="840" w:firstLineChars="400"/>
        <w:rPr>
          <w:rFonts w:hint="eastAsia" w:ascii="Times New Roman"/>
          <w:kern w:val="2"/>
          <w:szCs w:val="18"/>
        </w:rPr>
      </w:pPr>
      <w:r>
        <w:rPr>
          <w:rFonts w:hint="eastAsia"/>
          <w:sz w:val="21"/>
          <w:szCs w:val="21"/>
        </w:rPr>
        <w:t>E</w:t>
      </w:r>
      <w:r>
        <w:rPr>
          <w:rFonts w:hint="eastAsia"/>
          <w:sz w:val="21"/>
          <w:szCs w:val="21"/>
          <w:vertAlign w:val="subscript"/>
        </w:rPr>
        <w:t>IT</w:t>
      </w:r>
      <w:r>
        <w:rPr>
          <w:rFonts w:hint="eastAsia"/>
          <w:sz w:val="21"/>
          <w:szCs w:val="21"/>
          <w:lang w:val="en-US" w:eastAsia="zh-CN"/>
        </w:rPr>
        <w:t>——信息设备耗电量的校准值，单位为千瓦时（kW·h）。</w:t>
      </w:r>
    </w:p>
    <w:p>
      <w:pPr>
        <w:bidi w:val="0"/>
        <w:rPr>
          <w:rFonts w:hint="eastAsia"/>
          <w:b/>
          <w:bCs/>
          <w:lang w:val="en-US" w:eastAsia="zh-CN"/>
        </w:rPr>
      </w:pPr>
      <w:r>
        <w:rPr>
          <w:rFonts w:hint="eastAsia"/>
          <w:b/>
          <w:bCs/>
          <w:lang w:val="en-US" w:eastAsia="zh-CN"/>
        </w:rPr>
        <w:t>（6）判定</w:t>
      </w:r>
    </w:p>
    <w:p>
      <w:pPr>
        <w:rPr>
          <w:rFonts w:hint="default"/>
          <w:lang w:val="en-US" w:eastAsia="zh-CN"/>
        </w:rPr>
      </w:pPr>
      <w:r>
        <w:rPr>
          <w:rFonts w:hint="default"/>
          <w:lang w:val="en-US" w:eastAsia="zh-CN"/>
        </w:rPr>
        <w:t>各等级数据中心的判定应同时满足以下两个条件：</w:t>
      </w:r>
    </w:p>
    <w:p>
      <w:pPr>
        <w:rPr>
          <w:rFonts w:hint="default"/>
          <w:lang w:val="en-US" w:eastAsia="zh-CN"/>
        </w:rPr>
      </w:pPr>
      <w:r>
        <w:rPr>
          <w:rFonts w:hint="default"/>
          <w:lang w:val="en-US" w:eastAsia="zh-CN"/>
        </w:rPr>
        <w:t>a)数据中心电能比的设计值、特性工况法测算值和全年测算值均符合</w:t>
      </w:r>
      <w:r>
        <w:rPr>
          <w:rFonts w:hint="eastAsia"/>
          <w:lang w:val="en-US" w:eastAsia="zh-CN"/>
        </w:rPr>
        <w:t>国家标准《数据中心能效限定值及能效等级》中表1:“</w:t>
      </w:r>
      <w:r>
        <w:rPr>
          <w:rFonts w:ascii="Times New Roman"/>
        </w:rPr>
        <w:t>数据中心能效等级指标</w:t>
      </w:r>
      <w:r>
        <w:rPr>
          <w:rFonts w:hint="eastAsia"/>
          <w:lang w:val="en-US" w:eastAsia="zh-CN"/>
        </w:rPr>
        <w:t>”中</w:t>
      </w:r>
      <w:r>
        <w:rPr>
          <w:rFonts w:hint="default"/>
          <w:lang w:val="en-US" w:eastAsia="zh-CN"/>
        </w:rPr>
        <w:t>相应等级的规定。</w:t>
      </w:r>
    </w:p>
    <w:p>
      <w:pPr>
        <w:rPr>
          <w:rFonts w:hint="default"/>
          <w:lang w:val="en-US" w:eastAsia="zh-CN"/>
        </w:rPr>
      </w:pPr>
      <w:r>
        <w:rPr>
          <w:rFonts w:hint="default"/>
          <w:lang w:val="en-US" w:eastAsia="zh-CN"/>
        </w:rPr>
        <w:t>b)数据中心电能比的特性工况法测算值和全年测算值应小于设计值的1.05倍。</w:t>
      </w:r>
    </w:p>
    <w:p>
      <w:pPr>
        <w:pStyle w:val="5"/>
        <w:bidi w:val="0"/>
        <w:rPr>
          <w:rFonts w:hint="eastAsia"/>
          <w:lang w:val="en-US" w:eastAsia="zh-CN"/>
        </w:rPr>
      </w:pPr>
      <w:r>
        <w:rPr>
          <w:rFonts w:hint="eastAsia"/>
          <w:lang w:val="en-US" w:eastAsia="zh-CN"/>
        </w:rPr>
        <w:t>3.3.3制冷负载因子</w:t>
      </w:r>
    </w:p>
    <w:p>
      <w:pPr>
        <w:bidi w:val="0"/>
        <w:rPr>
          <w:rFonts w:hint="eastAsia"/>
          <w:lang w:val="en-US" w:eastAsia="zh-CN"/>
        </w:rPr>
      </w:pPr>
      <w:r>
        <w:rPr>
          <w:rFonts w:hint="eastAsia"/>
          <w:lang w:val="en-US" w:eastAsia="zh-CN"/>
        </w:rPr>
        <w:t>制冷负载因子（CLF：CoolingLoadFactor）定义为数据中心制冷设备电能消耗与信息设备电能消耗的比值，按如下公式计算：</w:t>
      </w:r>
    </w:p>
    <w:p>
      <w:pPr>
        <w:pStyle w:val="2"/>
        <w:ind w:left="0" w:leftChars="0" w:firstLine="0" w:firstLineChars="0"/>
        <w:jc w:val="center"/>
        <w:rPr>
          <w:rFonts w:hint="eastAsia"/>
          <w:vertAlign w:val="subscript"/>
          <w:lang w:val="en-US" w:eastAsia="zh-CN"/>
        </w:rPr>
      </w:pPr>
      <w:r>
        <w:rPr>
          <w:rFonts w:hint="eastAsia"/>
          <w:lang w:val="en-US" w:eastAsia="zh-CN"/>
        </w:rPr>
        <w:t>CLF=</w:t>
      </w:r>
      <w:r>
        <w:rPr>
          <w:rFonts w:hint="eastAsia"/>
          <w:i/>
          <w:iCs/>
          <w:lang w:val="en-US" w:eastAsia="zh-CN"/>
        </w:rPr>
        <w:t>E</w:t>
      </w:r>
      <w:r>
        <w:rPr>
          <w:rFonts w:hint="eastAsia"/>
          <w:vertAlign w:val="subscript"/>
          <w:lang w:val="en-US" w:eastAsia="zh-CN"/>
        </w:rPr>
        <w:t>CLF</w:t>
      </w:r>
      <w:r>
        <w:rPr>
          <w:rFonts w:hint="eastAsia"/>
          <w:lang w:val="en-US" w:eastAsia="zh-CN"/>
        </w:rPr>
        <w:t>/</w:t>
      </w:r>
      <w:r>
        <w:rPr>
          <w:rFonts w:hint="eastAsia"/>
          <w:i/>
          <w:iCs/>
          <w:lang w:val="en-US" w:eastAsia="zh-CN"/>
        </w:rPr>
        <w:t>E</w:t>
      </w:r>
      <w:r>
        <w:rPr>
          <w:rFonts w:hint="eastAsia"/>
          <w:vertAlign w:val="subscript"/>
          <w:lang w:val="en-US" w:eastAsia="zh-CN"/>
        </w:rPr>
        <w:t>IT</w:t>
      </w:r>
    </w:p>
    <w:p>
      <w:pPr>
        <w:bidi w:val="0"/>
        <w:rPr>
          <w:rFonts w:hint="default"/>
          <w:lang w:val="en-US" w:eastAsia="zh-CN"/>
        </w:rPr>
      </w:pPr>
      <w:r>
        <w:rPr>
          <w:rFonts w:hint="eastAsia"/>
          <w:lang w:val="en-US" w:eastAsia="zh-CN"/>
        </w:rPr>
        <w:t>式中：</w:t>
      </w:r>
    </w:p>
    <w:p>
      <w:pPr>
        <w:bidi w:val="0"/>
        <w:ind w:left="0" w:leftChars="0" w:firstLine="1120" w:firstLineChars="400"/>
        <w:rPr>
          <w:rFonts w:hint="eastAsia"/>
          <w:lang w:val="en-US" w:eastAsia="zh-CN"/>
        </w:rPr>
      </w:pPr>
      <w:r>
        <w:rPr>
          <w:rFonts w:hint="eastAsia"/>
          <w:lang w:val="en-US" w:eastAsia="zh-CN"/>
        </w:rPr>
        <w:t>CLF—制冷负载因子；</w:t>
      </w:r>
    </w:p>
    <w:p>
      <w:pPr>
        <w:bidi w:val="0"/>
        <w:ind w:left="0" w:leftChars="0" w:firstLine="1120" w:firstLineChars="400"/>
        <w:rPr>
          <w:rFonts w:hint="eastAsia"/>
          <w:lang w:val="en-US" w:eastAsia="zh-CN"/>
        </w:rPr>
      </w:pPr>
      <w:r>
        <w:rPr>
          <w:rFonts w:hint="eastAsia"/>
          <w:lang w:val="en-US" w:eastAsia="zh-CN"/>
        </w:rPr>
        <w:t>E</w:t>
      </w:r>
      <w:r>
        <w:rPr>
          <w:rFonts w:hint="eastAsia"/>
          <w:vertAlign w:val="subscript"/>
          <w:lang w:val="en-US" w:eastAsia="zh-CN"/>
        </w:rPr>
        <w:t>CLF</w:t>
      </w:r>
      <w:r>
        <w:rPr>
          <w:rFonts w:hint="eastAsia"/>
          <w:lang w:val="en-US" w:eastAsia="zh-CN"/>
        </w:rPr>
        <w:t>—数据中心制冷系统电能消耗，单位为千瓦时（kW·h）；</w:t>
      </w:r>
    </w:p>
    <w:p>
      <w:pPr>
        <w:bidi w:val="0"/>
        <w:ind w:left="0" w:leftChars="0" w:firstLine="1120" w:firstLineChars="400"/>
        <w:rPr>
          <w:rFonts w:hint="default"/>
          <w:lang w:val="en-US" w:eastAsia="zh-CN"/>
        </w:rPr>
      </w:pPr>
      <w:r>
        <w:rPr>
          <w:rFonts w:hint="eastAsia"/>
          <w:lang w:val="en-US" w:eastAsia="zh-CN"/>
        </w:rPr>
        <w:t>E</w:t>
      </w:r>
      <w:r>
        <w:rPr>
          <w:rFonts w:hint="eastAsia"/>
          <w:vertAlign w:val="subscript"/>
          <w:lang w:val="en-US" w:eastAsia="zh-CN"/>
        </w:rPr>
        <w:t>IT</w:t>
      </w:r>
      <w:r>
        <w:rPr>
          <w:rFonts w:hint="eastAsia"/>
          <w:lang w:val="en-US" w:eastAsia="zh-CN"/>
        </w:rPr>
        <w:t>—数据中心信息设备电能消耗，单位为千瓦时（kW·h）。</w:t>
      </w:r>
    </w:p>
    <w:p>
      <w:pPr>
        <w:pStyle w:val="5"/>
        <w:bidi w:val="0"/>
        <w:rPr>
          <w:rFonts w:hint="eastAsia"/>
          <w:lang w:val="en-US" w:eastAsia="zh-CN"/>
        </w:rPr>
      </w:pPr>
      <w:r>
        <w:rPr>
          <w:rFonts w:hint="eastAsia"/>
          <w:lang w:val="en-US" w:eastAsia="zh-CN"/>
        </w:rPr>
        <w:t>3.3.4供电负载因子</w:t>
      </w:r>
    </w:p>
    <w:p>
      <w:pPr>
        <w:bidi w:val="0"/>
        <w:rPr>
          <w:rFonts w:hint="eastAsia"/>
          <w:lang w:val="en-US" w:eastAsia="zh-CN"/>
        </w:rPr>
      </w:pPr>
      <w:r>
        <w:rPr>
          <w:rFonts w:hint="eastAsia"/>
          <w:lang w:val="en-US" w:eastAsia="zh-CN"/>
        </w:rPr>
        <w:t>供电负载因子（PLF：PowerLoadFactor）定义为数据中心供配电系统电能消耗与信息设备电能消耗的比值，按如下公式计算：</w:t>
      </w:r>
    </w:p>
    <w:p>
      <w:pPr>
        <w:pStyle w:val="2"/>
        <w:ind w:left="0" w:leftChars="0" w:firstLine="0" w:firstLineChars="0"/>
        <w:jc w:val="center"/>
        <w:rPr>
          <w:rFonts w:hint="eastAsia"/>
          <w:vertAlign w:val="subscript"/>
          <w:lang w:val="en-US" w:eastAsia="zh-CN"/>
        </w:rPr>
      </w:pPr>
      <w:r>
        <w:rPr>
          <w:rFonts w:hint="eastAsia"/>
          <w:lang w:val="en-US" w:eastAsia="zh-CN"/>
        </w:rPr>
        <w:t>PLF=</w:t>
      </w:r>
      <w:r>
        <w:rPr>
          <w:rFonts w:hint="eastAsia"/>
          <w:i/>
          <w:iCs/>
          <w:lang w:val="en-US" w:eastAsia="zh-CN"/>
        </w:rPr>
        <w:t>E</w:t>
      </w:r>
      <w:r>
        <w:rPr>
          <w:rFonts w:hint="eastAsia"/>
          <w:vertAlign w:val="subscript"/>
          <w:lang w:val="en-US" w:eastAsia="zh-CN"/>
        </w:rPr>
        <w:t>p</w:t>
      </w:r>
      <w:r>
        <w:rPr>
          <w:rFonts w:hint="eastAsia"/>
          <w:lang w:val="en-US" w:eastAsia="zh-CN"/>
        </w:rPr>
        <w:t>/</w:t>
      </w:r>
      <w:r>
        <w:rPr>
          <w:rFonts w:hint="eastAsia"/>
          <w:i/>
          <w:iCs/>
          <w:lang w:val="en-US" w:eastAsia="zh-CN"/>
        </w:rPr>
        <w:t>E</w:t>
      </w:r>
      <w:r>
        <w:rPr>
          <w:rFonts w:hint="eastAsia"/>
          <w:vertAlign w:val="subscript"/>
          <w:lang w:val="en-US" w:eastAsia="zh-CN"/>
        </w:rPr>
        <w:t>IT</w:t>
      </w:r>
    </w:p>
    <w:p>
      <w:pPr>
        <w:bidi w:val="0"/>
        <w:rPr>
          <w:rFonts w:hint="eastAsia"/>
          <w:lang w:val="en-US" w:eastAsia="zh-CN"/>
        </w:rPr>
      </w:pPr>
      <w:r>
        <w:rPr>
          <w:rFonts w:hint="eastAsia"/>
          <w:lang w:val="en-US" w:eastAsia="zh-CN"/>
        </w:rPr>
        <w:t>PLF—供电负载因子；</w:t>
      </w:r>
    </w:p>
    <w:p>
      <w:pPr>
        <w:pStyle w:val="2"/>
        <w:rPr>
          <w:rFonts w:hint="eastAsia"/>
          <w:lang w:val="en-US" w:eastAsia="zh-CN"/>
        </w:rPr>
      </w:pPr>
      <w:r>
        <w:rPr>
          <w:rFonts w:hint="eastAsia"/>
          <w:i/>
          <w:iCs/>
          <w:lang w:val="en-US" w:eastAsia="zh-CN"/>
        </w:rPr>
        <w:t>E</w:t>
      </w:r>
      <w:r>
        <w:rPr>
          <w:rFonts w:hint="eastAsia"/>
          <w:vertAlign w:val="subscript"/>
          <w:lang w:val="en-US" w:eastAsia="zh-CN"/>
        </w:rPr>
        <w:t>p</w:t>
      </w:r>
      <w:r>
        <w:rPr>
          <w:rFonts w:hint="eastAsia"/>
          <w:lang w:val="en-US" w:eastAsia="zh-CN"/>
        </w:rPr>
        <w:t>—数据中心供配电系统电能消耗，</w:t>
      </w:r>
      <w:r>
        <w:rPr>
          <w:rFonts w:hint="eastAsia"/>
          <w:vertAlign w:val="baseline"/>
          <w:lang w:val="en-US" w:eastAsia="zh-CN"/>
        </w:rPr>
        <w:t>单位为千瓦时（kW·h）</w:t>
      </w:r>
      <w:r>
        <w:rPr>
          <w:rFonts w:hint="eastAsia"/>
          <w:lang w:val="en-US" w:eastAsia="zh-CN"/>
        </w:rPr>
        <w:t>；</w:t>
      </w:r>
    </w:p>
    <w:p>
      <w:pPr>
        <w:pStyle w:val="2"/>
        <w:rPr>
          <w:rFonts w:hint="eastAsia"/>
          <w:vertAlign w:val="baseline"/>
          <w:lang w:val="en-US" w:eastAsia="zh-CN"/>
        </w:rPr>
      </w:pPr>
      <w:r>
        <w:rPr>
          <w:rFonts w:hint="eastAsia"/>
          <w:i/>
          <w:iCs/>
          <w:lang w:val="en-US" w:eastAsia="zh-CN"/>
        </w:rPr>
        <w:t>E</w:t>
      </w:r>
      <w:r>
        <w:rPr>
          <w:rFonts w:hint="eastAsia"/>
          <w:vertAlign w:val="subscript"/>
          <w:lang w:val="en-US" w:eastAsia="zh-CN"/>
        </w:rPr>
        <w:t>IT</w:t>
      </w:r>
      <w:r>
        <w:rPr>
          <w:rFonts w:hint="eastAsia"/>
          <w:lang w:val="en-US" w:eastAsia="zh-CN"/>
        </w:rPr>
        <w:t>—</w:t>
      </w:r>
      <w:r>
        <w:rPr>
          <w:rFonts w:hint="eastAsia"/>
          <w:vertAlign w:val="baseline"/>
          <w:lang w:val="en-US" w:eastAsia="zh-CN"/>
        </w:rPr>
        <w:t>数据中心信息设备电能消耗，单位为千瓦时（kW·h）。</w:t>
      </w:r>
    </w:p>
    <w:p>
      <w:pPr>
        <w:rPr>
          <w:rFonts w:hint="eastAsia"/>
          <w:vertAlign w:val="baseline"/>
          <w:lang w:val="en-US" w:eastAsia="zh-CN"/>
        </w:rPr>
      </w:pPr>
      <w:r>
        <w:rPr>
          <w:rFonts w:hint="eastAsia"/>
          <w:vertAlign w:val="baseline"/>
          <w:lang w:val="en-US" w:eastAsia="zh-CN"/>
        </w:rPr>
        <w:br w:type="page"/>
      </w:r>
    </w:p>
    <w:p>
      <w:pPr>
        <w:pStyle w:val="3"/>
        <w:bidi w:val="0"/>
        <w:rPr>
          <w:rFonts w:hint="eastAsia"/>
          <w:lang w:val="en-US" w:eastAsia="zh-CN"/>
        </w:rPr>
      </w:pPr>
      <w:bookmarkStart w:id="15" w:name="_Toc20932"/>
      <w:r>
        <w:rPr>
          <w:rFonts w:hint="eastAsia"/>
          <w:lang w:val="en-US" w:eastAsia="zh-CN"/>
        </w:rPr>
        <w:t>四、能效对标工作的要求</w:t>
      </w:r>
      <w:bookmarkEnd w:id="15"/>
    </w:p>
    <w:p>
      <w:pPr>
        <w:pStyle w:val="4"/>
        <w:bidi w:val="0"/>
        <w:rPr>
          <w:rFonts w:hint="eastAsia"/>
          <w:lang w:val="en-US" w:eastAsia="zh-CN"/>
        </w:rPr>
      </w:pPr>
      <w:bookmarkStart w:id="16" w:name="_Toc11753"/>
      <w:r>
        <w:rPr>
          <w:rFonts w:hint="eastAsia"/>
          <w:lang w:val="en-US" w:eastAsia="zh-CN"/>
        </w:rPr>
        <w:t>4.1建立能效对标管理机构</w:t>
      </w:r>
      <w:bookmarkEnd w:id="16"/>
    </w:p>
    <w:p>
      <w:pPr>
        <w:bidi w:val="0"/>
        <w:rPr>
          <w:rFonts w:hint="eastAsia"/>
          <w:lang w:val="en-US" w:eastAsia="zh-CN"/>
        </w:rPr>
      </w:pPr>
      <w:r>
        <w:rPr>
          <w:rFonts w:hint="eastAsia"/>
          <w:lang w:val="en-US" w:eastAsia="zh-CN"/>
        </w:rPr>
        <w:t>企业应建立能效对标工作的管理机构，直接对本企业的能效对标工作进行全面负责，落实管理机构中各人员的责任范围，确保对标工作稳步推进。能效对标管理机构职责包括但不限于以下各项：</w:t>
      </w:r>
    </w:p>
    <w:p>
      <w:pPr>
        <w:pStyle w:val="2"/>
        <w:numPr>
          <w:ilvl w:val="0"/>
          <w:numId w:val="8"/>
        </w:numPr>
        <w:rPr>
          <w:rFonts w:hint="eastAsia"/>
          <w:lang w:val="en-US" w:eastAsia="zh-CN"/>
        </w:rPr>
      </w:pPr>
      <w:r>
        <w:rPr>
          <w:rFonts w:hint="eastAsia"/>
          <w:lang w:val="en-US" w:eastAsia="zh-CN"/>
        </w:rPr>
        <w:t>领导、推进、协调能效对标工作；</w:t>
      </w:r>
    </w:p>
    <w:p>
      <w:pPr>
        <w:pStyle w:val="2"/>
        <w:numPr>
          <w:ilvl w:val="0"/>
          <w:numId w:val="8"/>
        </w:numPr>
        <w:rPr>
          <w:rFonts w:hint="eastAsia"/>
          <w:lang w:val="en-US" w:eastAsia="zh-CN"/>
        </w:rPr>
      </w:pPr>
      <w:r>
        <w:rPr>
          <w:rFonts w:hint="eastAsia"/>
          <w:lang w:val="en-US" w:eastAsia="zh-CN"/>
        </w:rPr>
        <w:t>主持、确立能效对标的具体工作目标和工作内容；</w:t>
      </w:r>
    </w:p>
    <w:p>
      <w:pPr>
        <w:pStyle w:val="2"/>
        <w:numPr>
          <w:ilvl w:val="0"/>
          <w:numId w:val="8"/>
        </w:numPr>
        <w:rPr>
          <w:rFonts w:hint="eastAsia"/>
          <w:lang w:val="en-US" w:eastAsia="zh-CN"/>
        </w:rPr>
      </w:pPr>
      <w:r>
        <w:rPr>
          <w:rFonts w:hint="eastAsia"/>
          <w:lang w:val="en-US" w:eastAsia="zh-CN"/>
        </w:rPr>
        <w:t>建立能效对标管理制度；</w:t>
      </w:r>
    </w:p>
    <w:p>
      <w:pPr>
        <w:pStyle w:val="2"/>
        <w:numPr>
          <w:ilvl w:val="0"/>
          <w:numId w:val="8"/>
        </w:numPr>
        <w:rPr>
          <w:rFonts w:hint="eastAsia"/>
          <w:lang w:val="en-US" w:eastAsia="zh-CN"/>
        </w:rPr>
      </w:pPr>
      <w:r>
        <w:rPr>
          <w:rFonts w:hint="eastAsia"/>
          <w:lang w:val="en-US" w:eastAsia="zh-CN"/>
        </w:rPr>
        <w:t>建立对标实施方案和相关的指标体系；</w:t>
      </w:r>
    </w:p>
    <w:p>
      <w:pPr>
        <w:pStyle w:val="2"/>
        <w:numPr>
          <w:ilvl w:val="0"/>
          <w:numId w:val="8"/>
        </w:numPr>
        <w:rPr>
          <w:rFonts w:hint="eastAsia"/>
          <w:lang w:val="en-US" w:eastAsia="zh-CN"/>
        </w:rPr>
      </w:pPr>
      <w:r>
        <w:rPr>
          <w:rFonts w:hint="eastAsia"/>
          <w:lang w:val="en-US" w:eastAsia="zh-CN"/>
        </w:rPr>
        <w:t>对标指标的过程控制管理和考核评价；</w:t>
      </w:r>
    </w:p>
    <w:p>
      <w:pPr>
        <w:pStyle w:val="2"/>
        <w:numPr>
          <w:ilvl w:val="0"/>
          <w:numId w:val="8"/>
        </w:numPr>
        <w:rPr>
          <w:rFonts w:hint="eastAsia"/>
          <w:lang w:val="en-US" w:eastAsia="zh-CN"/>
        </w:rPr>
      </w:pPr>
      <w:r>
        <w:rPr>
          <w:rFonts w:hint="eastAsia"/>
          <w:lang w:val="en-US" w:eastAsia="zh-CN"/>
        </w:rPr>
        <w:t>提出阶段性的能效改进技术和管理措施；</w:t>
      </w:r>
    </w:p>
    <w:p>
      <w:pPr>
        <w:pStyle w:val="2"/>
        <w:numPr>
          <w:ilvl w:val="0"/>
          <w:numId w:val="8"/>
        </w:numPr>
        <w:rPr>
          <w:rFonts w:hint="eastAsia"/>
          <w:lang w:val="en-US" w:eastAsia="zh-CN"/>
        </w:rPr>
      </w:pPr>
      <w:r>
        <w:rPr>
          <w:rFonts w:hint="eastAsia"/>
          <w:lang w:val="en-US" w:eastAsia="zh-CN"/>
        </w:rPr>
        <w:t>组织解决能效对标工作实施中遇到的问题。</w:t>
      </w:r>
    </w:p>
    <w:p>
      <w:pPr>
        <w:pStyle w:val="4"/>
        <w:bidi w:val="0"/>
        <w:rPr>
          <w:rFonts w:hint="eastAsia"/>
          <w:lang w:val="en-US" w:eastAsia="zh-CN"/>
        </w:rPr>
      </w:pPr>
      <w:bookmarkStart w:id="17" w:name="_Toc9490"/>
      <w:r>
        <w:rPr>
          <w:rFonts w:hint="eastAsia"/>
          <w:lang w:val="en-US" w:eastAsia="zh-CN"/>
        </w:rPr>
        <w:t>4.2建立能效对标管理制度</w:t>
      </w:r>
      <w:bookmarkEnd w:id="17"/>
    </w:p>
    <w:p>
      <w:pPr>
        <w:rPr>
          <w:rFonts w:hint="eastAsia"/>
          <w:lang w:val="en-US" w:eastAsia="zh-CN"/>
        </w:rPr>
      </w:pPr>
      <w:r>
        <w:rPr>
          <w:rFonts w:hint="eastAsia"/>
          <w:lang w:val="en-US" w:eastAsia="zh-CN"/>
        </w:rPr>
        <w:t>合理、有效的管理制度是高效高质完成工作的前提。在能效对标工作开展前，应当建立起相应的管理制度，可从以下几方面进行参考：</w:t>
      </w:r>
    </w:p>
    <w:p>
      <w:pPr>
        <w:pStyle w:val="2"/>
        <w:numPr>
          <w:ilvl w:val="0"/>
          <w:numId w:val="9"/>
        </w:numPr>
        <w:rPr>
          <w:rFonts w:hint="eastAsia"/>
          <w:lang w:val="en-US" w:eastAsia="zh-CN"/>
        </w:rPr>
      </w:pPr>
      <w:r>
        <w:rPr>
          <w:rFonts w:hint="eastAsia"/>
          <w:lang w:val="en-US" w:eastAsia="zh-CN"/>
        </w:rPr>
        <w:t>建立过程控制制度。具体包括目标保证措施、过程管理控制要求以及考核评价管理要求等。</w:t>
      </w:r>
    </w:p>
    <w:p>
      <w:pPr>
        <w:pStyle w:val="2"/>
        <w:numPr>
          <w:ilvl w:val="0"/>
          <w:numId w:val="9"/>
        </w:numPr>
        <w:rPr>
          <w:rFonts w:hint="default"/>
          <w:lang w:val="en-US" w:eastAsia="zh-CN"/>
        </w:rPr>
      </w:pPr>
      <w:r>
        <w:rPr>
          <w:rFonts w:hint="eastAsia"/>
          <w:lang w:val="en-US" w:eastAsia="zh-CN"/>
        </w:rPr>
        <w:t>建立信息交流制度。企业内部定期交流和通报各部门/过程能效对标工作的进展情况，分享工作开展过程中的经验体会，分析、解决能效对标工作中的问题。</w:t>
      </w:r>
    </w:p>
    <w:p>
      <w:pPr>
        <w:pStyle w:val="2"/>
        <w:numPr>
          <w:ilvl w:val="0"/>
          <w:numId w:val="9"/>
        </w:numPr>
        <w:rPr>
          <w:rFonts w:hint="default"/>
          <w:lang w:val="en-US" w:eastAsia="zh-CN"/>
        </w:rPr>
      </w:pPr>
      <w:r>
        <w:rPr>
          <w:rFonts w:hint="eastAsia"/>
          <w:lang w:val="en-US" w:eastAsia="zh-CN"/>
        </w:rPr>
        <w:t>建立信息发布制度。定期考查/考核各部门/过程能效对标工作成效，将各能效指标数据与考核评价结果、能源管理经验、最佳节能实践等进行宣传、发布，充分发动有关人员积极参与到能效对标工作中。</w:t>
      </w:r>
    </w:p>
    <w:p>
      <w:pPr>
        <w:pStyle w:val="4"/>
        <w:bidi w:val="0"/>
        <w:rPr>
          <w:rFonts w:hint="eastAsia"/>
          <w:lang w:val="en-US" w:eastAsia="zh-CN"/>
        </w:rPr>
      </w:pPr>
      <w:bookmarkStart w:id="18" w:name="_Toc8570"/>
      <w:r>
        <w:rPr>
          <w:rFonts w:hint="eastAsia"/>
          <w:lang w:val="en-US" w:eastAsia="zh-CN"/>
        </w:rPr>
        <w:t>4.3建立能效指标数据库和最佳实践数据库</w:t>
      </w:r>
      <w:bookmarkEnd w:id="18"/>
    </w:p>
    <w:p>
      <w:pPr>
        <w:rPr>
          <w:rFonts w:hint="eastAsia" w:eastAsia="仿宋_GB2312"/>
          <w:lang w:val="en-US" w:eastAsia="zh-CN"/>
        </w:rPr>
      </w:pPr>
      <w:r>
        <w:rPr>
          <w:rFonts w:hint="eastAsia"/>
          <w:lang w:val="en-US" w:eastAsia="zh-CN"/>
        </w:rPr>
        <w:t>为推动能效对标工作的高效开展，同时</w:t>
      </w:r>
      <w:r>
        <w:rPr>
          <w:rFonts w:hint="eastAsia"/>
          <w:highlight w:val="none"/>
          <w:lang w:val="en-US" w:eastAsia="zh-CN"/>
        </w:rPr>
        <w:t>便于</w:t>
      </w:r>
      <w:r>
        <w:rPr>
          <w:rFonts w:hint="eastAsia"/>
          <w:lang w:val="en-US" w:eastAsia="zh-CN"/>
        </w:rPr>
        <w:t>在能效对标活动中及时掌握、分析能效指标数据，参与对标活动企业应当建立能效指标数据库和最佳实践数据库。能效指标数据库的数据可来源于企业自身的历史数据、政府及行业协会发布的能效领先企业及指标、国标及地方标准能耗限额的指标值，以及企业收集到的国内外能效先进的能效指标值等；最佳实践数据库的数据可来源于政府及行业协会等发布的有关数据中心节能技术的推荐目录或案例，如《国家绿色数据中心先进适用技术产品目录》、《“能效之星”产品目录》等，以及企业收集到的国内外或企业自身的节能实践案例等。</w:t>
      </w:r>
    </w:p>
    <w:p>
      <w:pPr>
        <w:pStyle w:val="2"/>
        <w:rPr>
          <w:rFonts w:hint="eastAsia"/>
          <w:lang w:val="en-US" w:eastAsia="zh-CN"/>
        </w:rPr>
      </w:pPr>
    </w:p>
    <w:p>
      <w:pPr>
        <w:pStyle w:val="2"/>
        <w:rPr>
          <w:rFonts w:hint="eastAsia"/>
          <w:lang w:val="en-US" w:eastAsia="zh-CN"/>
        </w:rPr>
      </w:pPr>
    </w:p>
    <w:p>
      <w:pPr>
        <w:rPr>
          <w:rFonts w:hint="eastAsia"/>
          <w:lang w:val="en-US" w:eastAsia="zh-CN"/>
        </w:rPr>
      </w:pPr>
      <w:r>
        <w:rPr>
          <w:rFonts w:hint="eastAsia"/>
          <w:lang w:val="en-US" w:eastAsia="zh-CN"/>
        </w:rPr>
        <w:br w:type="page"/>
      </w:r>
    </w:p>
    <w:p>
      <w:pPr>
        <w:pStyle w:val="3"/>
        <w:bidi w:val="0"/>
        <w:rPr>
          <w:rFonts w:hint="eastAsia"/>
          <w:lang w:val="en-US" w:eastAsia="zh-CN"/>
        </w:rPr>
      </w:pPr>
      <w:bookmarkStart w:id="19" w:name="_Toc14471"/>
      <w:r>
        <w:rPr>
          <w:rFonts w:hint="eastAsia"/>
          <w:lang w:val="en-US" w:eastAsia="zh-CN"/>
        </w:rPr>
        <w:t>五、数据中心能效对标实施步骤</w:t>
      </w:r>
      <w:bookmarkEnd w:id="19"/>
    </w:p>
    <w:p>
      <w:pPr>
        <w:pStyle w:val="4"/>
        <w:bidi w:val="0"/>
        <w:rPr>
          <w:rFonts w:hint="eastAsia"/>
          <w:lang w:val="en-US" w:eastAsia="zh-CN"/>
        </w:rPr>
      </w:pPr>
      <w:bookmarkStart w:id="20" w:name="_Toc30913"/>
      <w:r>
        <w:rPr>
          <w:rFonts w:hint="eastAsia"/>
          <w:lang w:val="en-US" w:eastAsia="zh-CN"/>
        </w:rPr>
        <w:t>5.1现状分析</w:t>
      </w:r>
      <w:bookmarkEnd w:id="20"/>
    </w:p>
    <w:p>
      <w:pPr>
        <w:rPr>
          <w:rFonts w:hint="eastAsia"/>
          <w:lang w:val="en-US" w:eastAsia="zh-CN"/>
        </w:rPr>
      </w:pPr>
      <w:r>
        <w:rPr>
          <w:rFonts w:hint="eastAsia"/>
          <w:lang w:val="en-US" w:eastAsia="zh-CN"/>
        </w:rPr>
        <w:t>（1）对数据中心能源利用状况进行分析，充分掌握信息设备、制冷系统、供配电系统等历史电能消耗情况、电能利用效率以及节能改造情况，结合企业自身节能规划、中长期发展规划等资料，掌握信息设备、制冷系统、供配电系统等的能耗指标数据，确定能效现状基准值。</w:t>
      </w:r>
    </w:p>
    <w:p>
      <w:pPr>
        <w:pStyle w:val="2"/>
        <w:rPr>
          <w:rFonts w:hint="eastAsia"/>
          <w:lang w:val="en-US" w:eastAsia="zh-CN"/>
        </w:rPr>
      </w:pPr>
      <w:r>
        <w:rPr>
          <w:rFonts w:hint="eastAsia"/>
          <w:lang w:val="en-US" w:eastAsia="zh-CN"/>
        </w:rPr>
        <w:t>（2）编制《能效对标工作计划》，主要内容包括：</w:t>
      </w:r>
    </w:p>
    <w:p>
      <w:pPr>
        <w:numPr>
          <w:ilvl w:val="0"/>
          <w:numId w:val="10"/>
        </w:numPr>
        <w:bidi w:val="0"/>
        <w:rPr>
          <w:rFonts w:hint="eastAsia"/>
          <w:lang w:val="en-US" w:eastAsia="zh-CN"/>
        </w:rPr>
      </w:pPr>
      <w:r>
        <w:rPr>
          <w:rFonts w:hint="eastAsia"/>
          <w:lang w:val="en-US" w:eastAsia="zh-CN"/>
        </w:rPr>
        <w:t>能效对标的目的；</w:t>
      </w:r>
    </w:p>
    <w:p>
      <w:pPr>
        <w:numPr>
          <w:ilvl w:val="0"/>
          <w:numId w:val="10"/>
        </w:numPr>
        <w:bidi w:val="0"/>
        <w:rPr>
          <w:rFonts w:hint="eastAsia"/>
          <w:lang w:val="en-US" w:eastAsia="zh-CN"/>
        </w:rPr>
      </w:pPr>
      <w:r>
        <w:rPr>
          <w:rFonts w:hint="eastAsia"/>
          <w:lang w:val="en-US" w:eastAsia="zh-CN"/>
        </w:rPr>
        <w:t>能效对标的边界；</w:t>
      </w:r>
    </w:p>
    <w:p>
      <w:pPr>
        <w:numPr>
          <w:ilvl w:val="0"/>
          <w:numId w:val="10"/>
        </w:numPr>
        <w:bidi w:val="0"/>
        <w:rPr>
          <w:rFonts w:hint="eastAsia"/>
          <w:lang w:val="en-US" w:eastAsia="zh-CN"/>
        </w:rPr>
      </w:pPr>
      <w:r>
        <w:rPr>
          <w:rFonts w:hint="eastAsia"/>
          <w:lang w:val="en-US" w:eastAsia="zh-CN"/>
        </w:rPr>
        <w:t>能效对标的类型；</w:t>
      </w:r>
    </w:p>
    <w:p>
      <w:pPr>
        <w:numPr>
          <w:ilvl w:val="0"/>
          <w:numId w:val="10"/>
        </w:numPr>
        <w:bidi w:val="0"/>
        <w:rPr>
          <w:rFonts w:hint="eastAsia"/>
          <w:lang w:val="en-US" w:eastAsia="zh-CN"/>
        </w:rPr>
      </w:pPr>
      <w:r>
        <w:rPr>
          <w:rFonts w:hint="eastAsia"/>
          <w:lang w:val="en-US" w:eastAsia="zh-CN"/>
        </w:rPr>
        <w:t>能效对标的周期及起止时间；</w:t>
      </w:r>
    </w:p>
    <w:p>
      <w:pPr>
        <w:numPr>
          <w:ilvl w:val="0"/>
          <w:numId w:val="10"/>
        </w:numPr>
        <w:bidi w:val="0"/>
        <w:rPr>
          <w:rFonts w:hint="eastAsia"/>
          <w:lang w:val="en-US" w:eastAsia="zh-CN"/>
        </w:rPr>
      </w:pPr>
      <w:r>
        <w:rPr>
          <w:rFonts w:hint="eastAsia"/>
          <w:lang w:val="en-US" w:eastAsia="zh-CN"/>
        </w:rPr>
        <w:t>能效对标的成果形式；</w:t>
      </w:r>
    </w:p>
    <w:p>
      <w:pPr>
        <w:numPr>
          <w:ilvl w:val="0"/>
          <w:numId w:val="10"/>
        </w:numPr>
        <w:bidi w:val="0"/>
        <w:rPr>
          <w:rFonts w:hint="eastAsia"/>
          <w:lang w:val="en-US" w:eastAsia="zh-CN"/>
        </w:rPr>
      </w:pPr>
      <w:r>
        <w:rPr>
          <w:rFonts w:hint="eastAsia"/>
          <w:lang w:val="en-US" w:eastAsia="zh-CN"/>
        </w:rPr>
        <w:t>能效对标的指标或指标体系；</w:t>
      </w:r>
    </w:p>
    <w:p>
      <w:pPr>
        <w:numPr>
          <w:ilvl w:val="0"/>
          <w:numId w:val="10"/>
        </w:numPr>
        <w:bidi w:val="0"/>
        <w:rPr>
          <w:rFonts w:hint="eastAsia"/>
          <w:lang w:val="en-US" w:eastAsia="zh-CN"/>
        </w:rPr>
      </w:pPr>
      <w:r>
        <w:rPr>
          <w:rFonts w:hint="eastAsia"/>
          <w:lang w:val="en-US" w:eastAsia="zh-CN"/>
        </w:rPr>
        <w:t>能效对标的数据来源等。</w:t>
      </w:r>
    </w:p>
    <w:p>
      <w:pPr>
        <w:pStyle w:val="4"/>
        <w:bidi w:val="0"/>
        <w:rPr>
          <w:rFonts w:hint="eastAsia"/>
          <w:lang w:val="en-US" w:eastAsia="zh-CN"/>
        </w:rPr>
      </w:pPr>
      <w:bookmarkStart w:id="21" w:name="_Toc26975"/>
      <w:r>
        <w:rPr>
          <w:rFonts w:hint="eastAsia"/>
          <w:lang w:val="en-US" w:eastAsia="zh-CN"/>
        </w:rPr>
        <w:t>5.2选择对标类型及标杆</w:t>
      </w:r>
      <w:bookmarkEnd w:id="21"/>
    </w:p>
    <w:p>
      <w:pPr>
        <w:rPr>
          <w:rFonts w:hint="eastAsia"/>
          <w:lang w:val="en-US" w:eastAsia="zh-CN"/>
        </w:rPr>
      </w:pPr>
      <w:r>
        <w:rPr>
          <w:rFonts w:hint="eastAsia"/>
          <w:lang w:val="en-US" w:eastAsia="zh-CN"/>
        </w:rPr>
        <w:t>选择内部对标、外部对标或者内部对标和外部对标相结合的对标方式。选择能效标杆时应以国内外领先的能效水平为导向，对潜在的能效标杆进行研究分析，根据工作需要和工作目标，并结合自身实际，确定能效标杆。</w:t>
      </w:r>
    </w:p>
    <w:p>
      <w:pPr>
        <w:pStyle w:val="4"/>
        <w:bidi w:val="0"/>
        <w:rPr>
          <w:rFonts w:hint="eastAsia"/>
          <w:lang w:val="en-US" w:eastAsia="zh-CN"/>
        </w:rPr>
      </w:pPr>
      <w:bookmarkStart w:id="22" w:name="_Toc32595"/>
      <w:r>
        <w:rPr>
          <w:rFonts w:hint="eastAsia"/>
          <w:lang w:val="en-US" w:eastAsia="zh-CN"/>
        </w:rPr>
        <w:t>5.3制定实施方案</w:t>
      </w:r>
      <w:bookmarkEnd w:id="22"/>
    </w:p>
    <w:p>
      <w:pPr>
        <w:pStyle w:val="5"/>
        <w:bidi w:val="0"/>
        <w:rPr>
          <w:rFonts w:hint="default"/>
          <w:lang w:val="en-US" w:eastAsia="zh-CN"/>
        </w:rPr>
      </w:pPr>
      <w:r>
        <w:rPr>
          <w:rFonts w:hint="eastAsia"/>
          <w:lang w:val="en-US" w:eastAsia="zh-CN"/>
        </w:rPr>
        <w:t>5.3.1调研与分析</w:t>
      </w:r>
    </w:p>
    <w:p>
      <w:pPr>
        <w:pStyle w:val="2"/>
        <w:rPr>
          <w:rFonts w:hint="default"/>
          <w:lang w:val="en-US" w:eastAsia="zh-CN"/>
        </w:rPr>
      </w:pPr>
      <w:r>
        <w:rPr>
          <w:rFonts w:hint="eastAsia"/>
          <w:lang w:val="en-US" w:eastAsia="zh-CN"/>
        </w:rPr>
        <w:t>对标的数据中心要对自身能源利用状况进行客观、全面的分析，通过对各耗能环节的计量设备进行检测校准，为准确统计各环节的能耗做好准备工作。</w:t>
      </w:r>
    </w:p>
    <w:p>
      <w:pPr>
        <w:pStyle w:val="2"/>
        <w:rPr>
          <w:rFonts w:hint="eastAsia"/>
          <w:lang w:val="en-US" w:eastAsia="zh-CN"/>
        </w:rPr>
      </w:pPr>
      <w:r>
        <w:rPr>
          <w:rFonts w:hint="eastAsia"/>
          <w:lang w:val="en-US" w:eastAsia="zh-CN"/>
        </w:rPr>
        <w:t>在进行外部能效对标活动时，可与能效标杆企业开展交流，总结标杆企业在能效指标管理方面的先进做法、措施手段及最佳节能实践，全面分析本企业在能源管理水平、技术改进、设备运转及维护保养等方面与标杆企业存在的差异，剖析标杆企业产生优秀绩效的过程，有针对性地制定出切实可行的能效对标方案。</w:t>
      </w:r>
    </w:p>
    <w:p>
      <w:pPr>
        <w:pStyle w:val="5"/>
        <w:bidi w:val="0"/>
        <w:rPr>
          <w:rFonts w:hint="eastAsia"/>
          <w:lang w:val="en-US" w:eastAsia="zh-CN"/>
        </w:rPr>
      </w:pPr>
      <w:r>
        <w:rPr>
          <w:rFonts w:hint="eastAsia"/>
          <w:lang w:val="en-US" w:eastAsia="zh-CN"/>
        </w:rPr>
        <w:t>5.3.2制定方案</w:t>
      </w:r>
    </w:p>
    <w:p>
      <w:pPr>
        <w:rPr>
          <w:rFonts w:hint="eastAsia"/>
          <w:lang w:val="en-US" w:eastAsia="zh-CN"/>
        </w:rPr>
      </w:pPr>
      <w:r>
        <w:rPr>
          <w:rFonts w:hint="eastAsia"/>
          <w:lang w:val="en-US" w:eastAsia="zh-CN"/>
        </w:rPr>
        <w:t>能效对标活动开展后，应分析目前数据中心运行时的能耗情况与标杆值存在差距的原因，主要分析工艺技术的改进情况、节能技术的应用效果以及节能工作管理制度等，从而制订出相应的能效指标改进方案和具体实施计划。方案应包括但不限于以下内容：</w:t>
      </w:r>
    </w:p>
    <w:p>
      <w:pPr>
        <w:numPr>
          <w:ilvl w:val="0"/>
          <w:numId w:val="10"/>
        </w:numPr>
        <w:bidi w:val="0"/>
        <w:rPr>
          <w:rFonts w:hint="eastAsia"/>
          <w:lang w:val="en-US" w:eastAsia="zh-CN"/>
        </w:rPr>
      </w:pPr>
      <w:r>
        <w:rPr>
          <w:rFonts w:hint="eastAsia"/>
          <w:lang w:val="en-US" w:eastAsia="zh-CN"/>
        </w:rPr>
        <w:t>对标指标和目标；</w:t>
      </w:r>
    </w:p>
    <w:p>
      <w:pPr>
        <w:numPr>
          <w:ilvl w:val="0"/>
          <w:numId w:val="10"/>
        </w:numPr>
        <w:bidi w:val="0"/>
        <w:rPr>
          <w:rFonts w:hint="eastAsia"/>
          <w:lang w:val="en-US" w:eastAsia="zh-CN"/>
        </w:rPr>
      </w:pPr>
      <w:r>
        <w:rPr>
          <w:rFonts w:hint="eastAsia"/>
          <w:lang w:val="en-US" w:eastAsia="zh-CN"/>
        </w:rPr>
        <w:t>可采用的节能措施，包括技术措施和管理措施；</w:t>
      </w:r>
    </w:p>
    <w:p>
      <w:pPr>
        <w:numPr>
          <w:ilvl w:val="0"/>
          <w:numId w:val="10"/>
        </w:numPr>
        <w:bidi w:val="0"/>
        <w:rPr>
          <w:rFonts w:hint="eastAsia"/>
          <w:lang w:val="en-US" w:eastAsia="zh-CN"/>
        </w:rPr>
      </w:pPr>
      <w:r>
        <w:rPr>
          <w:rFonts w:hint="eastAsia"/>
          <w:lang w:val="en-US" w:eastAsia="zh-CN"/>
        </w:rPr>
        <w:t>实施部门及其人员职责和权限；</w:t>
      </w:r>
    </w:p>
    <w:p>
      <w:pPr>
        <w:numPr>
          <w:ilvl w:val="0"/>
          <w:numId w:val="10"/>
        </w:numPr>
        <w:bidi w:val="0"/>
        <w:rPr>
          <w:rFonts w:hint="eastAsia"/>
          <w:lang w:val="en-US" w:eastAsia="zh-CN"/>
        </w:rPr>
      </w:pPr>
      <w:r>
        <w:rPr>
          <w:rFonts w:hint="eastAsia"/>
          <w:lang w:val="en-US" w:eastAsia="zh-CN"/>
        </w:rPr>
        <w:t>对标实施时间和进度；</w:t>
      </w:r>
    </w:p>
    <w:p>
      <w:pPr>
        <w:numPr>
          <w:ilvl w:val="0"/>
          <w:numId w:val="10"/>
        </w:numPr>
        <w:bidi w:val="0"/>
        <w:rPr>
          <w:rFonts w:hint="eastAsia"/>
          <w:lang w:val="en-US" w:eastAsia="zh-CN"/>
        </w:rPr>
      </w:pPr>
      <w:r>
        <w:rPr>
          <w:rFonts w:hint="eastAsia"/>
          <w:lang w:val="en-US" w:eastAsia="zh-CN"/>
        </w:rPr>
        <w:t>资源和相关控制要求；</w:t>
      </w:r>
    </w:p>
    <w:p>
      <w:pPr>
        <w:numPr>
          <w:ilvl w:val="0"/>
          <w:numId w:val="10"/>
        </w:numPr>
        <w:bidi w:val="0"/>
        <w:rPr>
          <w:rFonts w:hint="default"/>
          <w:lang w:val="en-US" w:eastAsia="zh-CN"/>
        </w:rPr>
      </w:pPr>
      <w:r>
        <w:rPr>
          <w:rFonts w:hint="eastAsia"/>
          <w:lang w:val="en-US" w:eastAsia="zh-CN"/>
        </w:rPr>
        <w:t>节能效果验证。</w:t>
      </w:r>
    </w:p>
    <w:p>
      <w:pPr>
        <w:pStyle w:val="4"/>
        <w:bidi w:val="0"/>
        <w:rPr>
          <w:rFonts w:hint="eastAsia"/>
          <w:lang w:val="en-US" w:eastAsia="zh-CN"/>
        </w:rPr>
      </w:pPr>
      <w:bookmarkStart w:id="23" w:name="_Toc21245"/>
      <w:r>
        <w:rPr>
          <w:rFonts w:hint="eastAsia"/>
          <w:lang w:val="en-US" w:eastAsia="zh-CN"/>
        </w:rPr>
        <w:t>5.4对标评价</w:t>
      </w:r>
      <w:bookmarkEnd w:id="23"/>
    </w:p>
    <w:p>
      <w:pPr>
        <w:rPr>
          <w:rFonts w:hint="eastAsia"/>
          <w:lang w:val="en-US" w:eastAsia="zh-CN"/>
        </w:rPr>
      </w:pPr>
      <w:r>
        <w:rPr>
          <w:rFonts w:hint="eastAsia"/>
          <w:lang w:val="en-US" w:eastAsia="zh-CN"/>
        </w:rPr>
        <w:t>在上一步找出与标杆值的差距后，确定企业改进能效的潜力，根据不同对标类型的实施方案，将改进指标的措施和能耗指标目标值分解落实到相关负责人，把提高能效的压力和动力传递到企业中每一层级的管理人员和员工身上，体现对标活动的全面性。</w:t>
      </w:r>
    </w:p>
    <w:p>
      <w:pPr>
        <w:rPr>
          <w:rFonts w:hint="eastAsia"/>
          <w:lang w:val="en-US" w:eastAsia="zh-CN"/>
        </w:rPr>
      </w:pPr>
      <w:r>
        <w:rPr>
          <w:rFonts w:hint="eastAsia"/>
          <w:lang w:val="en-US" w:eastAsia="zh-CN"/>
        </w:rPr>
        <w:t>企业应定期就某一阶段能效对标活动的结果进行评估，组织评估小组验证、审核能效对标的成果，对比采取能效改进措施和方案前后能耗的变化情况，检查各项能效指标是否达到标杆或目标值，并将此次能效对标工作的情况汇总分析，编制对标评估报告，报告应包括但不限于以下内容：</w:t>
      </w:r>
    </w:p>
    <w:p>
      <w:pPr>
        <w:pStyle w:val="2"/>
        <w:rPr>
          <w:rFonts w:hint="eastAsia"/>
          <w:lang w:val="en-US" w:eastAsia="zh-CN"/>
        </w:rPr>
      </w:pPr>
      <w:r>
        <w:rPr>
          <w:rFonts w:hint="eastAsia"/>
          <w:lang w:val="en-US" w:eastAsia="zh-CN"/>
        </w:rPr>
        <w:t>（1）对标工作成效评估，包括各项能效指标的节能量及达标情况；</w:t>
      </w:r>
    </w:p>
    <w:p>
      <w:pPr>
        <w:pStyle w:val="2"/>
        <w:rPr>
          <w:rFonts w:hint="eastAsia"/>
          <w:lang w:val="en-US" w:eastAsia="zh-CN"/>
        </w:rPr>
      </w:pPr>
      <w:r>
        <w:rPr>
          <w:rFonts w:hint="eastAsia"/>
          <w:lang w:val="en-US" w:eastAsia="zh-CN"/>
        </w:rPr>
        <w:t>（2）对标管理机制评估；</w:t>
      </w:r>
    </w:p>
    <w:p>
      <w:pPr>
        <w:pStyle w:val="2"/>
        <w:rPr>
          <w:rFonts w:hint="eastAsia"/>
          <w:lang w:val="en-US" w:eastAsia="zh-CN"/>
        </w:rPr>
      </w:pPr>
      <w:r>
        <w:rPr>
          <w:rFonts w:hint="eastAsia"/>
          <w:lang w:val="en-US" w:eastAsia="zh-CN"/>
        </w:rPr>
        <w:t>（3）对标过程的经验及启示。</w:t>
      </w:r>
    </w:p>
    <w:p>
      <w:pPr>
        <w:pStyle w:val="4"/>
        <w:bidi w:val="0"/>
        <w:rPr>
          <w:rFonts w:hint="eastAsia"/>
          <w:lang w:val="en-US" w:eastAsia="zh-CN"/>
        </w:rPr>
      </w:pPr>
      <w:bookmarkStart w:id="24" w:name="_Toc28834"/>
      <w:r>
        <w:rPr>
          <w:rFonts w:hint="eastAsia"/>
          <w:lang w:val="en-US" w:eastAsia="zh-CN"/>
        </w:rPr>
        <w:t>5.5持续改进</w:t>
      </w:r>
      <w:bookmarkEnd w:id="24"/>
    </w:p>
    <w:p>
      <w:pPr>
        <w:rPr>
          <w:rFonts w:hint="eastAsia"/>
          <w:lang w:val="en-US" w:eastAsia="zh-CN"/>
        </w:rPr>
      </w:pPr>
      <w:r>
        <w:rPr>
          <w:rFonts w:hint="eastAsia"/>
          <w:lang w:val="en-US" w:eastAsia="zh-CN"/>
        </w:rPr>
        <w:t>总结并提炼能效对标实践过程中各种行之有效的措施、方法和制度，并进行固化，便于推广和复制；同时企业对标所选取的标杆值也并不是一成不变的，随着对标活动的深入，企业能效水平的提高，对标的标杆值也随之发生变化，因此要适时制定下一阶段更高层次的能效对标计划，将能效对标活动深入持续地开展下去。</w:t>
      </w:r>
    </w:p>
    <w:p>
      <w:pPr>
        <w:rPr>
          <w:rFonts w:hint="eastAsia"/>
          <w:lang w:val="en-US" w:eastAsia="zh-CN"/>
        </w:rPr>
      </w:pPr>
    </w:p>
    <w:p>
      <w:pPr>
        <w:pStyle w:val="3"/>
        <w:bidi w:val="0"/>
        <w:rPr>
          <w:rFonts w:hint="eastAsia"/>
          <w:lang w:val="en-US" w:eastAsia="zh-CN"/>
        </w:rPr>
      </w:pPr>
      <w:bookmarkStart w:id="25" w:name="_Toc571"/>
      <w:r>
        <w:rPr>
          <w:rFonts w:hint="eastAsia"/>
          <w:lang w:val="en-US" w:eastAsia="zh-CN"/>
        </w:rPr>
        <w:t>六、数据中心行业提高能效的技术产品</w:t>
      </w:r>
      <w:bookmarkEnd w:id="25"/>
    </w:p>
    <w:p>
      <w:pPr>
        <w:bidi w:val="0"/>
        <w:rPr>
          <w:rFonts w:hint="default"/>
          <w:lang w:val="en-US" w:eastAsia="zh-CN"/>
        </w:rPr>
      </w:pPr>
      <w:r>
        <w:rPr>
          <w:rFonts w:hint="eastAsia"/>
          <w:lang w:val="en-US" w:eastAsia="zh-CN"/>
        </w:rPr>
        <w:t>数据中心能效提升技术产品的类型可分为系统集成技术产品、制冷技术技术产品、IT设备技术产品、供配电技术产品以及运维管理技术产品等几大类。以下从《国家绿色数据中心先进适用技术产品目录（2020）》中节选部分技术产品以供参考。</w:t>
      </w:r>
    </w:p>
    <w:p>
      <w:pPr>
        <w:pStyle w:val="4"/>
        <w:bidi w:val="0"/>
        <w:rPr>
          <w:rFonts w:hint="eastAsia"/>
          <w:lang w:val="en-US" w:eastAsia="zh-CN"/>
        </w:rPr>
      </w:pPr>
      <w:bookmarkStart w:id="26" w:name="_Toc12421"/>
      <w:r>
        <w:rPr>
          <w:rFonts w:hint="eastAsia"/>
          <w:lang w:val="en-US" w:eastAsia="zh-CN"/>
        </w:rPr>
        <w:t>6.1高效系统集成技术产品</w:t>
      </w:r>
      <w:bookmarkEnd w:id="26"/>
    </w:p>
    <w:p>
      <w:pPr>
        <w:pStyle w:val="5"/>
        <w:bidi w:val="0"/>
        <w:rPr>
          <w:rFonts w:hint="eastAsia"/>
          <w:lang w:val="en-US" w:eastAsia="zh-CN"/>
        </w:rPr>
      </w:pPr>
      <w:r>
        <w:rPr>
          <w:rFonts w:hint="eastAsia"/>
          <w:lang w:val="en-US" w:eastAsia="zh-CN"/>
        </w:rPr>
        <w:t>6.1.1预制式微模块集成技术及产品</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在模块内集成了机架系统、供配电系统、监控管理系统、制冷系统、综合布线系统、防雷接地系统和消防系统等数据中心各核心部件。可通过工厂预制保证现场交付质量与进度。具有界面清晰，建设简单特点，可根据需求分期部署。</w:t>
      </w:r>
    </w:p>
    <w:p>
      <w:pPr>
        <w:bidi w:val="0"/>
        <w:rPr>
          <w:rFonts w:hint="eastAsia"/>
          <w:lang w:val="en-US" w:eastAsia="zh-CN"/>
        </w:rPr>
      </w:pPr>
      <w:r>
        <w:rPr>
          <w:rFonts w:hint="eastAsia"/>
          <w:lang w:val="en-US" w:eastAsia="zh-CN"/>
        </w:rPr>
        <w:t>（3）主要节能指标：与传统数据中心相比，可以节电约15%，PUE值可达1.3以下。</w:t>
      </w:r>
    </w:p>
    <w:p>
      <w:pPr>
        <w:bidi w:val="0"/>
        <w:rPr>
          <w:rFonts w:hint="eastAsia"/>
          <w:lang w:val="en-US" w:eastAsia="zh-CN"/>
        </w:rPr>
      </w:pPr>
      <w:r>
        <w:rPr>
          <w:rFonts w:hint="eastAsia"/>
          <w:lang w:val="en-US" w:eastAsia="zh-CN"/>
        </w:rPr>
        <w:t>（4）应用实例：某数据中心采用智能微模块，工厂预制，快速部署，采用行级近端制冷技术提高机柜功率密度。可实现PUE降至约1.3。</w:t>
      </w:r>
    </w:p>
    <w:p>
      <w:pPr>
        <w:pStyle w:val="5"/>
        <w:bidi w:val="0"/>
        <w:rPr>
          <w:rFonts w:hint="eastAsia"/>
          <w:lang w:val="en-US" w:eastAsia="zh-CN"/>
        </w:rPr>
      </w:pPr>
      <w:r>
        <w:rPr>
          <w:rFonts w:hint="eastAsia"/>
          <w:lang w:val="en-US" w:eastAsia="zh-CN"/>
        </w:rPr>
        <w:t>6.1.2微型浸没液冷边缘计算数据中心</w:t>
      </w:r>
    </w:p>
    <w:p>
      <w:pPr>
        <w:bidi w:val="0"/>
        <w:rPr>
          <w:rFonts w:hint="eastAsia"/>
          <w:lang w:val="en-US" w:eastAsia="zh-CN"/>
        </w:rPr>
      </w:pPr>
      <w:r>
        <w:rPr>
          <w:rFonts w:hint="eastAsia"/>
          <w:lang w:val="en-US" w:eastAsia="zh-CN"/>
        </w:rPr>
        <w:t>（1）适用范围：新建数据中心、在用数据中心改造。</w:t>
      </w:r>
    </w:p>
    <w:p>
      <w:pPr>
        <w:pStyle w:val="2"/>
        <w:rPr>
          <w:rFonts w:hint="eastAsia"/>
          <w:lang w:val="en-US" w:eastAsia="zh-CN"/>
        </w:rPr>
      </w:pPr>
      <w:r>
        <w:rPr>
          <w:rFonts w:hint="eastAsia"/>
          <w:lang w:val="en-US" w:eastAsia="zh-CN"/>
        </w:rPr>
        <w:t>（2）技术原理：微型液冷边缘计算数据中心由微型液冷机柜、热交换器、二次冷却设备、电子信息设备、硬件资源管理平台等组成。IT设备完全浸没在注满冷却液的液冷机柜中，通过冷却液直接散热，冷却液再通过小功率变频循环泵驱动，循环到板式换热器与制冷系统进行冷量交换。</w:t>
      </w:r>
    </w:p>
    <w:p>
      <w:pPr>
        <w:pStyle w:val="2"/>
        <w:rPr>
          <w:rFonts w:hint="eastAsia"/>
          <w:lang w:val="en-US" w:eastAsia="zh-CN"/>
        </w:rPr>
      </w:pPr>
      <w:r>
        <w:rPr>
          <w:rFonts w:hint="eastAsia"/>
          <w:lang w:val="en-US" w:eastAsia="zh-CN"/>
        </w:rPr>
        <w:t>（3）主要节能指标：①系统年均PUE最低可降至1.1；②2.单机柜IT可用空间13-42U，可用IT功率密度5-50kW。</w:t>
      </w:r>
    </w:p>
    <w:p>
      <w:pPr>
        <w:pStyle w:val="2"/>
        <w:rPr>
          <w:rFonts w:hint="eastAsia"/>
          <w:lang w:val="en-US" w:eastAsia="zh-CN"/>
        </w:rPr>
      </w:pPr>
      <w:r>
        <w:rPr>
          <w:rFonts w:hint="eastAsia"/>
          <w:lang w:val="en-US" w:eastAsia="zh-CN"/>
        </w:rPr>
        <w:t>（4）应用实例：某数据中心选用直膨式制冷方案，年均降至PUE=1.4，全年节电量8.76万kW·h。</w:t>
      </w:r>
    </w:p>
    <w:p>
      <w:pPr>
        <w:pStyle w:val="5"/>
        <w:bidi w:val="0"/>
        <w:rPr>
          <w:rFonts w:hint="eastAsia"/>
          <w:lang w:val="en-US" w:eastAsia="zh-CN"/>
        </w:rPr>
      </w:pPr>
      <w:r>
        <w:rPr>
          <w:rFonts w:hint="eastAsia"/>
          <w:lang w:val="en-US" w:eastAsia="zh-CN"/>
        </w:rPr>
        <w:t>6.1.3喷淋液冷边缘计算工作站</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整个系统主要由冷却塔、冷水机组、液冷CDU、液冷喷淋机柜构成。工作过程为：低温冷却液送入服务器精准喷淋芯片等发热单元带走热量，喷淋后的高温冷却液返回液冷CDU与冷却水换热处理为低温冷却液后再次进入服务器喷淋。冷却液全程无相变。</w:t>
      </w:r>
    </w:p>
    <w:p>
      <w:pPr>
        <w:bidi w:val="0"/>
        <w:rPr>
          <w:rFonts w:hint="eastAsia"/>
          <w:lang w:val="en-US" w:eastAsia="zh-CN"/>
        </w:rPr>
      </w:pPr>
      <w:r>
        <w:rPr>
          <w:rFonts w:hint="eastAsia"/>
          <w:lang w:val="en-US" w:eastAsia="zh-CN"/>
        </w:rPr>
        <w:t>（3）主要节能指标：①PUE值可低至1.07；②2.单机架功率集成可达50kW以上；③3.2U标准机架式喷淋液冷服务器功率密度可达2kW以上。</w:t>
      </w:r>
    </w:p>
    <w:p>
      <w:pPr>
        <w:bidi w:val="0"/>
        <w:rPr>
          <w:rFonts w:hint="eastAsia"/>
          <w:lang w:val="en-US" w:eastAsia="zh-CN"/>
        </w:rPr>
      </w:pPr>
      <w:r>
        <w:rPr>
          <w:rFonts w:hint="eastAsia"/>
          <w:lang w:val="en-US" w:eastAsia="zh-CN"/>
        </w:rPr>
        <w:t>（4）应用实例：某数据中心整体电功率达到120kW。机房室外设备采用集装箱式整机模块，数据中心整体PUE值降低至1.07。</w:t>
      </w:r>
    </w:p>
    <w:p>
      <w:pPr>
        <w:pStyle w:val="4"/>
        <w:bidi w:val="0"/>
        <w:rPr>
          <w:rFonts w:hint="eastAsia"/>
          <w:lang w:val="en-US" w:eastAsia="zh-CN"/>
        </w:rPr>
      </w:pPr>
      <w:bookmarkStart w:id="27" w:name="_Toc21590"/>
      <w:r>
        <w:rPr>
          <w:rFonts w:hint="eastAsia"/>
          <w:lang w:val="en-US" w:eastAsia="zh-CN"/>
        </w:rPr>
        <w:t>6.2高效制冷/冷却技术产品</w:t>
      </w:r>
      <w:bookmarkEnd w:id="27"/>
    </w:p>
    <w:p>
      <w:pPr>
        <w:pStyle w:val="5"/>
        <w:bidi w:val="0"/>
        <w:rPr>
          <w:rFonts w:hint="default"/>
          <w:lang w:val="en-US" w:eastAsia="zh-CN"/>
        </w:rPr>
      </w:pPr>
      <w:r>
        <w:rPr>
          <w:rFonts w:hint="eastAsia"/>
          <w:lang w:val="en-US" w:eastAsia="zh-CN"/>
        </w:rPr>
        <w:t>6.2.1蒸发冷却式冷水机组</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（2）技术原理：通过蒸发冷却和闭式冷却水塔相结合的方式，充分利用空气流动及水的蒸发潜热冷却压缩机制冷剂，实现对自然冷源的充分利用。</w:t>
      </w:r>
    </w:p>
    <w:p>
      <w:pPr>
        <w:bidi w:val="0"/>
        <w:rPr>
          <w:rFonts w:hint="eastAsia"/>
          <w:lang w:val="en-US" w:eastAsia="zh-CN"/>
        </w:rPr>
      </w:pPr>
      <w:r>
        <w:rPr>
          <w:rFonts w:hint="eastAsia"/>
          <w:lang w:val="en-US" w:eastAsia="zh-CN"/>
        </w:rPr>
        <w:t>（3）主要节能指标：①能效比（COP）：≥15；②与传统的水冷式冷水机组相比，可以节电15%以上，节水50%以上；③与风冷式冷水机组相比，节能35%以上。</w:t>
      </w:r>
    </w:p>
    <w:p>
      <w:pPr>
        <w:bidi w:val="0"/>
        <w:rPr>
          <w:rFonts w:hint="eastAsia"/>
          <w:lang w:val="en-US" w:eastAsia="zh-CN"/>
        </w:rPr>
      </w:pPr>
      <w:r>
        <w:rPr>
          <w:rFonts w:hint="eastAsia"/>
          <w:lang w:val="en-US" w:eastAsia="zh-CN"/>
        </w:rPr>
        <w:t>（4）应用实例：某数据中心应用后，年节能量约104MW∙h；年节水量：40824m</w:t>
      </w:r>
      <w:r>
        <w:rPr>
          <w:rFonts w:hint="eastAsia"/>
          <w:vertAlign w:val="superscript"/>
          <w:lang w:val="en-US" w:eastAsia="zh-CN"/>
        </w:rPr>
        <w:t>3</w:t>
      </w:r>
      <w:r>
        <w:rPr>
          <w:rFonts w:hint="eastAsia"/>
          <w:lang w:val="en-US" w:eastAsia="zh-CN"/>
        </w:rPr>
        <w:t>；补水量：0.8m</w:t>
      </w:r>
      <w:r>
        <w:rPr>
          <w:rFonts w:hint="eastAsia"/>
          <w:vertAlign w:val="superscript"/>
          <w:lang w:val="en-US" w:eastAsia="zh-CN"/>
        </w:rPr>
        <w:t>3</w:t>
      </w:r>
      <w:r>
        <w:rPr>
          <w:rFonts w:hint="eastAsia"/>
          <w:lang w:val="en-US" w:eastAsia="zh-CN"/>
        </w:rPr>
        <w:t>/h。</w:t>
      </w:r>
    </w:p>
    <w:p>
      <w:pPr>
        <w:pStyle w:val="5"/>
        <w:bidi w:val="0"/>
        <w:rPr>
          <w:rFonts w:hint="eastAsia"/>
          <w:lang w:val="en-US" w:eastAsia="zh-CN"/>
        </w:rPr>
      </w:pPr>
      <w:r>
        <w:rPr>
          <w:rFonts w:hint="eastAsia"/>
          <w:lang w:val="en-US" w:eastAsia="zh-CN"/>
        </w:rPr>
        <w:t>6.2.2磁悬浮变频离心式冷水机组</w:t>
      </w:r>
    </w:p>
    <w:p>
      <w:pPr>
        <w:bidi w:val="0"/>
        <w:rPr>
          <w:rFonts w:hint="eastAsia"/>
          <w:lang w:val="en-US" w:eastAsia="zh-CN"/>
        </w:rPr>
      </w:pPr>
      <w:r>
        <w:rPr>
          <w:rFonts w:hint="eastAsia"/>
          <w:lang w:val="en-US" w:eastAsia="zh-CN"/>
        </w:rPr>
        <w:t>（1）适用范围：新建数据中心。</w:t>
      </w:r>
    </w:p>
    <w:p>
      <w:pPr>
        <w:bidi w:val="0"/>
        <w:rPr>
          <w:rFonts w:hint="eastAsia"/>
          <w:lang w:val="en-US" w:eastAsia="zh-CN"/>
        </w:rPr>
      </w:pPr>
      <w:r>
        <w:rPr>
          <w:rFonts w:hint="eastAsia"/>
          <w:lang w:val="en-US" w:eastAsia="zh-CN"/>
        </w:rPr>
        <w:t>（2）技术原理：磁悬浮压缩机采用电机直接驱动转子，电子转轴和叶轮组件通过数字控制的磁轴承在旋转过程中悬浮运转，在不产生磨损且完全无油运行情况下实现制冷功能。</w:t>
      </w:r>
    </w:p>
    <w:p>
      <w:pPr>
        <w:bidi w:val="0"/>
        <w:rPr>
          <w:rFonts w:hint="eastAsia"/>
          <w:lang w:val="en-US" w:eastAsia="zh-CN"/>
        </w:rPr>
      </w:pPr>
      <w:r>
        <w:rPr>
          <w:rFonts w:hint="eastAsia"/>
          <w:lang w:val="en-US" w:eastAsia="zh-CN"/>
        </w:rPr>
        <w:t>（3）主要节能指标：与常规变频离心机组及螺杆机组相比，可节电约10%-15%。</w:t>
      </w:r>
    </w:p>
    <w:p>
      <w:pPr>
        <w:rPr>
          <w:rFonts w:hint="eastAsia"/>
          <w:lang w:val="en-US" w:eastAsia="zh-CN"/>
        </w:rPr>
      </w:pPr>
      <w:r>
        <w:rPr>
          <w:rFonts w:hint="eastAsia"/>
          <w:lang w:val="en-US" w:eastAsia="zh-CN"/>
        </w:rPr>
        <w:t>（4）应用实例：某数据中心应用后，季节综合COP可高于14，运行费用约为传统冷水机组的47.6%。</w:t>
      </w:r>
    </w:p>
    <w:p>
      <w:pPr>
        <w:pStyle w:val="5"/>
        <w:bidi w:val="0"/>
        <w:rPr>
          <w:rFonts w:hint="eastAsia"/>
          <w:lang w:val="en-US" w:eastAsia="zh-CN"/>
        </w:rPr>
      </w:pPr>
      <w:r>
        <w:rPr>
          <w:rFonts w:hint="eastAsia"/>
          <w:lang w:val="en-US" w:eastAsia="zh-CN"/>
        </w:rPr>
        <w:t>6.2.3集成自然冷却功能的风冷螺杆冷水机组</w:t>
      </w:r>
    </w:p>
    <w:p>
      <w:pPr>
        <w:rPr>
          <w:rFonts w:hint="default"/>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（2）技术原理：风冷螺杆冷水机组集成自然冷却功能，具有压缩机制冷、完全自然冷却制冷、压缩机制冷+自然冷却制冷三种运行方式。</w:t>
      </w:r>
    </w:p>
    <w:p>
      <w:pPr>
        <w:bidi w:val="0"/>
        <w:rPr>
          <w:rFonts w:hint="eastAsia"/>
          <w:lang w:val="en-US" w:eastAsia="zh-CN"/>
        </w:rPr>
      </w:pPr>
      <w:r>
        <w:rPr>
          <w:rFonts w:hint="eastAsia"/>
          <w:lang w:val="en-US" w:eastAsia="zh-CN"/>
        </w:rPr>
        <w:t>（3）主要节能指标：①综合能效：大于6.0；②与常规风冷螺杆冷水机组相比，可节能36%以上。</w:t>
      </w:r>
    </w:p>
    <w:p>
      <w:pPr>
        <w:bidi w:val="0"/>
        <w:rPr>
          <w:rFonts w:hint="eastAsia"/>
          <w:lang w:val="en-US" w:eastAsia="zh-CN"/>
        </w:rPr>
      </w:pPr>
      <w:r>
        <w:rPr>
          <w:rFonts w:hint="eastAsia"/>
          <w:lang w:val="en-US" w:eastAsia="zh-CN"/>
        </w:rPr>
        <w:t>（4）应用实例：某数据中心安装自然冷却风冷全封闭螺杆冷水机组4台（3用1备），年节省电力约200万kW·h。</w:t>
      </w:r>
    </w:p>
    <w:p>
      <w:pPr>
        <w:pStyle w:val="5"/>
        <w:bidi w:val="0"/>
        <w:rPr>
          <w:rFonts w:hint="eastAsia"/>
          <w:lang w:val="en-US" w:eastAsia="zh-CN"/>
        </w:rPr>
      </w:pPr>
      <w:r>
        <w:rPr>
          <w:rFonts w:hint="eastAsia"/>
          <w:lang w:val="en-US" w:eastAsia="zh-CN"/>
        </w:rPr>
        <w:t>6.2.4风墙新风冷却技术</w:t>
      </w:r>
    </w:p>
    <w:p>
      <w:pPr>
        <w:bidi w:val="0"/>
        <w:rPr>
          <w:rFonts w:hint="eastAsia"/>
          <w:lang w:val="en-US" w:eastAsia="zh-CN"/>
        </w:rPr>
      </w:pPr>
      <w:r>
        <w:rPr>
          <w:rFonts w:hint="eastAsia"/>
          <w:lang w:val="en-US" w:eastAsia="zh-CN"/>
        </w:rPr>
        <w:t>（1）适用范围：新建数据中心。</w:t>
      </w:r>
    </w:p>
    <w:p>
      <w:pPr>
        <w:bidi w:val="0"/>
        <w:rPr>
          <w:rFonts w:hint="eastAsia"/>
          <w:lang w:val="en-US" w:eastAsia="zh-CN"/>
        </w:rPr>
      </w:pPr>
      <w:r>
        <w:rPr>
          <w:rFonts w:hint="eastAsia"/>
          <w:lang w:val="en-US" w:eastAsia="zh-CN"/>
        </w:rPr>
        <w:t>（2）技术原理：将室外自然新风经过处理以后引入机房内，对设备进行冷却降温。</w:t>
      </w:r>
    </w:p>
    <w:p>
      <w:pPr>
        <w:bidi w:val="0"/>
        <w:rPr>
          <w:rFonts w:hint="eastAsia"/>
          <w:lang w:val="en-US" w:eastAsia="zh-CN"/>
        </w:rPr>
      </w:pPr>
      <w:r>
        <w:rPr>
          <w:rFonts w:hint="eastAsia"/>
          <w:lang w:val="en-US" w:eastAsia="zh-CN"/>
        </w:rPr>
        <w:t>（3）主要节能指标：与传统精密空调系统相比，系统可节电约60%。</w:t>
      </w:r>
    </w:p>
    <w:p>
      <w:pPr>
        <w:bidi w:val="0"/>
        <w:rPr>
          <w:rFonts w:hint="eastAsia"/>
          <w:lang w:val="en-US" w:eastAsia="zh-CN"/>
        </w:rPr>
      </w:pPr>
      <w:r>
        <w:rPr>
          <w:rFonts w:hint="eastAsia"/>
          <w:lang w:val="en-US" w:eastAsia="zh-CN"/>
        </w:rPr>
        <w:t>（4）应用实例：北方某数据中心建设容量10万台服务器，充分利用自然冷源，配合高效供电系统，可实现PUE低至1.1。</w:t>
      </w:r>
    </w:p>
    <w:p>
      <w:pPr>
        <w:pStyle w:val="4"/>
        <w:bidi w:val="0"/>
        <w:rPr>
          <w:rFonts w:hint="eastAsia"/>
          <w:lang w:val="en-US" w:eastAsia="zh-CN"/>
        </w:rPr>
      </w:pPr>
      <w:bookmarkStart w:id="28" w:name="_Toc5379"/>
      <w:r>
        <w:rPr>
          <w:rFonts w:hint="eastAsia"/>
          <w:lang w:val="en-US" w:eastAsia="zh-CN"/>
        </w:rPr>
        <w:t>6.3高效IT技术产品</w:t>
      </w:r>
      <w:bookmarkEnd w:id="28"/>
    </w:p>
    <w:p>
      <w:pPr>
        <w:pStyle w:val="5"/>
        <w:bidi w:val="0"/>
        <w:rPr>
          <w:rFonts w:hint="eastAsia"/>
          <w:lang w:val="en-US" w:eastAsia="zh-CN"/>
        </w:rPr>
      </w:pPr>
      <w:r>
        <w:rPr>
          <w:rFonts w:hint="eastAsia"/>
          <w:lang w:val="en-US" w:eastAsia="zh-CN"/>
        </w:rPr>
        <w:t>6.3.1温水水冷服务器</w:t>
      </w:r>
    </w:p>
    <w:p>
      <w:pPr>
        <w:bidi w:val="0"/>
        <w:rPr>
          <w:rFonts w:hint="eastAsia"/>
          <w:lang w:val="en-US" w:eastAsia="zh-CN"/>
        </w:rPr>
      </w:pPr>
      <w:r>
        <w:rPr>
          <w:rFonts w:hint="eastAsia"/>
          <w:lang w:val="en-US" w:eastAsia="zh-CN"/>
        </w:rPr>
        <w:t>（1）适用范围：新建数据中心。</w:t>
      </w:r>
    </w:p>
    <w:p>
      <w:pPr>
        <w:bidi w:val="0"/>
        <w:rPr>
          <w:rFonts w:hint="eastAsia"/>
          <w:lang w:val="en-US" w:eastAsia="zh-CN"/>
        </w:rPr>
      </w:pPr>
      <w:r>
        <w:rPr>
          <w:rFonts w:hint="eastAsia"/>
          <w:lang w:val="en-US" w:eastAsia="zh-CN"/>
        </w:rPr>
        <w:t>（2）技术原理：采用45℃的温水作为IT设备制冷的冷媒工质，采用间接式液冷方式对计算机服务器进行冷却。在大多数地区可直接采用自然冷源，大规模应用下可进行热回收。</w:t>
      </w:r>
    </w:p>
    <w:p>
      <w:pPr>
        <w:bidi w:val="0"/>
        <w:rPr>
          <w:rFonts w:hint="eastAsia"/>
          <w:lang w:val="en-US" w:eastAsia="zh-CN"/>
        </w:rPr>
      </w:pPr>
      <w:r>
        <w:rPr>
          <w:rFonts w:hint="eastAsia"/>
          <w:lang w:val="en-US" w:eastAsia="zh-CN"/>
        </w:rPr>
        <w:t>（3）主要节能指标：PUE可低于1.1。</w:t>
      </w:r>
    </w:p>
    <w:p>
      <w:pPr>
        <w:bidi w:val="0"/>
        <w:rPr>
          <w:rFonts w:hint="eastAsia"/>
          <w:lang w:val="en-US" w:eastAsia="zh-CN"/>
        </w:rPr>
      </w:pPr>
      <w:r>
        <w:rPr>
          <w:rFonts w:hint="eastAsia"/>
          <w:lang w:val="en-US" w:eastAsia="zh-CN"/>
        </w:rPr>
        <w:t>（4）应用实例：某数据中心进水温度40-45℃，冷却用水由自然冷却系统提供，系统PUE值为1.1。</w:t>
      </w:r>
    </w:p>
    <w:p>
      <w:pPr>
        <w:pStyle w:val="5"/>
        <w:bidi w:val="0"/>
        <w:rPr>
          <w:rFonts w:hint="eastAsia"/>
          <w:lang w:val="en-US" w:eastAsia="zh-CN"/>
        </w:rPr>
      </w:pPr>
      <w:r>
        <w:rPr>
          <w:rFonts w:hint="eastAsia"/>
          <w:lang w:val="en-US" w:eastAsia="zh-CN"/>
        </w:rPr>
        <w:t>6.3.2冷板式液冷服务器</w:t>
      </w:r>
    </w:p>
    <w:p>
      <w:pPr>
        <w:bidi w:val="0"/>
        <w:rPr>
          <w:rFonts w:hint="eastAsia"/>
          <w:lang w:val="en-US" w:eastAsia="zh-CN"/>
        </w:rPr>
      </w:pPr>
      <w:r>
        <w:rPr>
          <w:rFonts w:hint="eastAsia"/>
          <w:lang w:val="en-US" w:eastAsia="zh-CN"/>
        </w:rPr>
        <w:t>（1）适用范围：新建数据中心。</w:t>
      </w:r>
    </w:p>
    <w:p>
      <w:pPr>
        <w:bidi w:val="0"/>
        <w:rPr>
          <w:rFonts w:hint="eastAsia"/>
          <w:lang w:val="en-US" w:eastAsia="zh-CN"/>
        </w:rPr>
      </w:pPr>
      <w:r>
        <w:rPr>
          <w:rFonts w:hint="eastAsia"/>
          <w:lang w:val="en-US" w:eastAsia="zh-CN"/>
        </w:rPr>
        <w:t>（2）技术原理：利用液体作为中间热量传输的媒介，通过液冷板等高效热传导部件将芯片热量传递到冷媒中。可有效解决中高密度服务器的散热问题，降低冷却系统能耗且降低噪声。</w:t>
      </w:r>
    </w:p>
    <w:p>
      <w:pPr>
        <w:bidi w:val="0"/>
        <w:rPr>
          <w:rFonts w:hint="eastAsia"/>
          <w:lang w:val="en-US" w:eastAsia="zh-CN"/>
        </w:rPr>
      </w:pPr>
      <w:r>
        <w:rPr>
          <w:rFonts w:hint="eastAsia"/>
          <w:lang w:val="en-US" w:eastAsia="zh-CN"/>
        </w:rPr>
        <w:t>（3）主要节能指标：①与同等配置的风冷服务器相比，服务器可节电46.8%；②噪音可降至45dB。</w:t>
      </w:r>
    </w:p>
    <w:p>
      <w:pPr>
        <w:pStyle w:val="2"/>
        <w:rPr>
          <w:rFonts w:hint="default"/>
          <w:lang w:val="en-US" w:eastAsia="zh-CN"/>
        </w:rPr>
      </w:pPr>
      <w:r>
        <w:rPr>
          <w:rFonts w:hint="eastAsia"/>
          <w:lang w:val="en-US" w:eastAsia="zh-CN"/>
        </w:rPr>
        <w:t>（4）应用实例：某数据中心应用后，与传统风冷服务器相比，节电率约45%，年节电量275.6万kW·h。</w:t>
      </w:r>
    </w:p>
    <w:p>
      <w:pPr>
        <w:pStyle w:val="5"/>
        <w:bidi w:val="0"/>
        <w:rPr>
          <w:rFonts w:hint="eastAsia"/>
          <w:lang w:val="en-US" w:eastAsia="zh-CN"/>
        </w:rPr>
      </w:pPr>
      <w:r>
        <w:rPr>
          <w:rFonts w:hint="eastAsia"/>
          <w:lang w:val="en-US" w:eastAsia="zh-CN"/>
        </w:rPr>
        <w:t>6.3.3基于GPU加速的异构计算技术</w:t>
      </w:r>
    </w:p>
    <w:p>
      <w:pPr>
        <w:bidi w:val="0"/>
        <w:rPr>
          <w:rFonts w:hint="eastAsia"/>
          <w:lang w:val="en-US" w:eastAsia="zh-CN"/>
        </w:rPr>
      </w:pPr>
      <w:r>
        <w:rPr>
          <w:rFonts w:hint="eastAsia"/>
          <w:lang w:val="en-US" w:eastAsia="zh-CN"/>
        </w:rPr>
        <w:t>（1）适用范围：新建数据中心</w:t>
      </w:r>
    </w:p>
    <w:p>
      <w:pPr>
        <w:bidi w:val="0"/>
        <w:rPr>
          <w:rFonts w:hint="eastAsia"/>
          <w:lang w:val="en-US" w:eastAsia="zh-CN"/>
        </w:rPr>
      </w:pPr>
      <w:r>
        <w:rPr>
          <w:rFonts w:hint="eastAsia"/>
          <w:lang w:val="en-US" w:eastAsia="zh-CN"/>
        </w:rPr>
        <w:t>（2）技术原理：基于高速总线互联架构将计算解耦，将GPU/FPGA/AI加速卡池化设计，实现1机单卡，1机多卡，多机单卡和多机多卡灵活资源配置。</w:t>
      </w:r>
    </w:p>
    <w:p>
      <w:pPr>
        <w:bidi w:val="0"/>
        <w:rPr>
          <w:rFonts w:hint="eastAsia"/>
          <w:lang w:val="en-US" w:eastAsia="zh-CN"/>
        </w:rPr>
      </w:pPr>
      <w:r>
        <w:rPr>
          <w:rFonts w:hint="eastAsia"/>
          <w:lang w:val="en-US" w:eastAsia="zh-CN"/>
        </w:rPr>
        <w:t>（3）主要节能指标：对比传统GPU服务器，功耗可降低7%以上，TCO优化5%以上。</w:t>
      </w:r>
    </w:p>
    <w:p>
      <w:pPr>
        <w:rPr>
          <w:rFonts w:hint="eastAsia"/>
          <w:lang w:val="en-US" w:eastAsia="zh-CN"/>
        </w:rPr>
      </w:pPr>
      <w:r>
        <w:rPr>
          <w:rFonts w:hint="eastAsia"/>
          <w:lang w:val="en-US" w:eastAsia="zh-CN"/>
        </w:rPr>
        <w:t>（4）应用实例：某数据中心应用43个机柜，年节电约35.9万kW·h。</w:t>
      </w:r>
    </w:p>
    <w:p>
      <w:pPr>
        <w:pStyle w:val="5"/>
        <w:bidi w:val="0"/>
        <w:rPr>
          <w:rFonts w:hint="eastAsia"/>
          <w:lang w:val="en-US" w:eastAsia="zh-CN"/>
        </w:rPr>
      </w:pPr>
      <w:r>
        <w:rPr>
          <w:rFonts w:hint="eastAsia"/>
          <w:lang w:val="en-US" w:eastAsia="zh-CN"/>
        </w:rPr>
        <w:t>6.3.4长效大容量光盘库存储技术</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充分利用蓝光光盘可靠长效存储的特点构造高密度光盘库库体，并通过机电一体化调度技术对光盘进行科学智能化管理，实现海量信息数据的长期安全存储、快速调阅查询和专业归档管理以及智能化离线管理。</w:t>
      </w:r>
    </w:p>
    <w:p>
      <w:pPr>
        <w:bidi w:val="0"/>
        <w:rPr>
          <w:rFonts w:hint="eastAsia"/>
          <w:lang w:val="en-US" w:eastAsia="zh-CN"/>
        </w:rPr>
      </w:pPr>
      <w:r>
        <w:rPr>
          <w:rFonts w:hint="eastAsia"/>
          <w:lang w:val="en-US" w:eastAsia="zh-CN"/>
        </w:rPr>
        <w:t>（3）主要节能指标：存储设备可节电约80%。</w:t>
      </w:r>
    </w:p>
    <w:p>
      <w:pPr>
        <w:pStyle w:val="4"/>
        <w:bidi w:val="0"/>
        <w:rPr>
          <w:rFonts w:hint="eastAsia"/>
          <w:lang w:val="en-US" w:eastAsia="zh-CN"/>
        </w:rPr>
      </w:pPr>
      <w:bookmarkStart w:id="29" w:name="_Toc26128"/>
      <w:r>
        <w:rPr>
          <w:rFonts w:hint="eastAsia"/>
          <w:lang w:val="en-US" w:eastAsia="zh-CN"/>
        </w:rPr>
        <w:t>6.4高效供配电技术产品</w:t>
      </w:r>
      <w:bookmarkEnd w:id="29"/>
    </w:p>
    <w:p>
      <w:pPr>
        <w:pStyle w:val="5"/>
        <w:bidi w:val="0"/>
        <w:rPr>
          <w:rFonts w:hint="eastAsia"/>
          <w:lang w:val="en-US" w:eastAsia="zh-CN"/>
        </w:rPr>
      </w:pPr>
      <w:r>
        <w:rPr>
          <w:rFonts w:hint="eastAsia"/>
          <w:lang w:val="en-US" w:eastAsia="zh-CN"/>
        </w:rPr>
        <w:t>6.4.1模块化不间断电源（UPS）</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（2）技术原理：UPS各个功能单元采用模块化设计，整机具有数字化、智能化等特点，可实现网络化管理。</w:t>
      </w:r>
    </w:p>
    <w:p>
      <w:pPr>
        <w:bidi w:val="0"/>
        <w:rPr>
          <w:rFonts w:hint="eastAsia"/>
          <w:lang w:val="en-US" w:eastAsia="zh-CN"/>
        </w:rPr>
      </w:pPr>
      <w:r>
        <w:rPr>
          <w:rFonts w:hint="eastAsia"/>
          <w:lang w:val="en-US" w:eastAsia="zh-CN"/>
        </w:rPr>
        <w:t>（3）主要节能指标：整机系统效率可达95%以上。</w:t>
      </w:r>
    </w:p>
    <w:p>
      <w:pPr>
        <w:rPr>
          <w:rFonts w:hint="eastAsia"/>
          <w:lang w:val="en-US" w:eastAsia="zh-CN"/>
        </w:rPr>
      </w:pPr>
      <w:r>
        <w:rPr>
          <w:rFonts w:hint="eastAsia"/>
          <w:lang w:val="en-US" w:eastAsia="zh-CN"/>
        </w:rPr>
        <w:t>（4）应用实例：某数据中心负载890kW，效率达到96%。相比传统工频UPS可节电约5%，年节电约39万kW·h。</w:t>
      </w:r>
    </w:p>
    <w:p>
      <w:pPr>
        <w:pStyle w:val="5"/>
        <w:bidi w:val="0"/>
        <w:rPr>
          <w:rFonts w:hint="eastAsia"/>
          <w:lang w:val="en-US" w:eastAsia="zh-CN"/>
        </w:rPr>
      </w:pPr>
      <w:r>
        <w:rPr>
          <w:rFonts w:hint="eastAsia"/>
          <w:lang w:val="en-US" w:eastAsia="zh-CN"/>
        </w:rPr>
        <w:t>6.4.2 10kV交流输入的直流不间断电源系统</w:t>
      </w:r>
    </w:p>
    <w:p>
      <w:pPr>
        <w:bidi w:val="0"/>
        <w:rPr>
          <w:rFonts w:hint="eastAsia"/>
          <w:lang w:val="en-US" w:eastAsia="zh-CN"/>
        </w:rPr>
      </w:pPr>
      <w:r>
        <w:rPr>
          <w:rFonts w:hint="eastAsia"/>
          <w:lang w:val="en-US" w:eastAsia="zh-CN"/>
        </w:rPr>
        <w:t>（1）适用范围：新建数据中心</w:t>
      </w:r>
    </w:p>
    <w:p>
      <w:pPr>
        <w:bidi w:val="0"/>
        <w:rPr>
          <w:rFonts w:hint="eastAsia"/>
          <w:lang w:val="en-US" w:eastAsia="zh-CN"/>
        </w:rPr>
      </w:pPr>
      <w:r>
        <w:rPr>
          <w:rFonts w:hint="eastAsia"/>
          <w:lang w:val="en-US" w:eastAsia="zh-CN"/>
        </w:rPr>
        <w:t>（2）技术原理：将原有配电链路中的中压隔离柜、变压器柜、低压配电柜组、HVDC柜四类设备优化整合为一套电源，在电路拓扑上将模块五个变换环节优化为两个环节。从而简化配电链路，提高了供电效率。</w:t>
      </w:r>
    </w:p>
    <w:p>
      <w:pPr>
        <w:bidi w:val="0"/>
        <w:rPr>
          <w:rFonts w:hint="eastAsia"/>
          <w:lang w:val="en-US" w:eastAsia="zh-CN"/>
        </w:rPr>
      </w:pPr>
      <w:r>
        <w:rPr>
          <w:rFonts w:hint="eastAsia"/>
          <w:lang w:val="en-US" w:eastAsia="zh-CN"/>
        </w:rPr>
        <w:t>（3）主要节能指标：10%-100%负载下模块效率＞97%，模块最高效率＞98%，整机最高效率&gt;97.5%。</w:t>
      </w:r>
    </w:p>
    <w:p>
      <w:pPr>
        <w:pStyle w:val="2"/>
        <w:rPr>
          <w:rFonts w:hint="eastAsia"/>
          <w:lang w:val="en-US" w:eastAsia="zh-CN"/>
        </w:rPr>
      </w:pPr>
      <w:r>
        <w:rPr>
          <w:rFonts w:hint="eastAsia"/>
          <w:lang w:val="en-US" w:eastAsia="zh-CN"/>
        </w:rPr>
        <w:t>（4）应用实例：某数据中心建筑面积2万平米，外市电容量25MW，共采用1.8MW电源8台，年节电约443万kW·h。</w:t>
      </w:r>
    </w:p>
    <w:p>
      <w:pPr>
        <w:pStyle w:val="5"/>
        <w:bidi w:val="0"/>
        <w:rPr>
          <w:rFonts w:hint="eastAsia"/>
          <w:lang w:val="en-US" w:eastAsia="zh-CN"/>
        </w:rPr>
      </w:pPr>
      <w:r>
        <w:rPr>
          <w:rFonts w:hint="eastAsia"/>
          <w:lang w:val="en-US" w:eastAsia="zh-CN"/>
        </w:rPr>
        <w:t>6.4.3 SGB13型敞开式立体卷铁芯干式变压器</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（2）技术原理：铁芯由三个完全相同的矩形单框拼合而成，拼合后的铁芯的三个心柱呈等边三角形立体排列。磁力线与铁芯材料易磁化方向完全一致，三相磁路无接缝。</w:t>
      </w:r>
    </w:p>
    <w:p>
      <w:pPr>
        <w:bidi w:val="0"/>
        <w:rPr>
          <w:rFonts w:hint="eastAsia"/>
          <w:lang w:val="en-US" w:eastAsia="zh-CN"/>
        </w:rPr>
      </w:pPr>
      <w:r>
        <w:rPr>
          <w:rFonts w:hint="eastAsia"/>
          <w:lang w:val="en-US" w:eastAsia="zh-CN"/>
        </w:rPr>
        <w:t>（3）主要节能指标：①容量：2500kVA；②空载损耗：2.438kW；③空载电流：0.13%。</w:t>
      </w:r>
    </w:p>
    <w:p>
      <w:pPr>
        <w:rPr>
          <w:rFonts w:hint="eastAsia"/>
          <w:lang w:val="en-US" w:eastAsia="zh-CN"/>
        </w:rPr>
      </w:pPr>
      <w:r>
        <w:rPr>
          <w:rFonts w:hint="eastAsia"/>
          <w:lang w:val="en-US" w:eastAsia="zh-CN"/>
        </w:rPr>
        <w:t>（4）应用实例：某数据中心应用2台敞开式立体卷铁芯干式变压器，年节约用电8万kW·h。</w:t>
      </w:r>
    </w:p>
    <w:p>
      <w:pPr>
        <w:pStyle w:val="5"/>
        <w:bidi w:val="0"/>
        <w:rPr>
          <w:rFonts w:hint="eastAsia"/>
          <w:lang w:val="en-US" w:eastAsia="zh-CN"/>
        </w:rPr>
      </w:pPr>
      <w:r>
        <w:rPr>
          <w:rFonts w:hint="eastAsia"/>
          <w:lang w:val="en-US" w:eastAsia="zh-CN"/>
        </w:rPr>
        <w:t>6.4.4飞轮储能装置</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从外部输入的电能驱动电动机带动飞轮旋转储存动能。当外部负载需要能量时，旋转的飞轮带动发电机发电，再通过电力电子变换装置变成负载所需要的各种频率、电压等级的电能，以满足不同的需求。</w:t>
      </w:r>
    </w:p>
    <w:p>
      <w:pPr>
        <w:bidi w:val="0"/>
        <w:rPr>
          <w:rFonts w:hint="eastAsia"/>
          <w:lang w:val="en-US" w:eastAsia="zh-CN"/>
        </w:rPr>
      </w:pPr>
      <w:r>
        <w:rPr>
          <w:rFonts w:hint="eastAsia"/>
          <w:lang w:val="en-US" w:eastAsia="zh-CN"/>
        </w:rPr>
        <w:t>（3）主要节能指标：①输出功率：≥100kW；②放电电压：360-550VDC；③放电时间：≥15s（100%负载）；④待机充电电压：400-600VDC。</w:t>
      </w:r>
    </w:p>
    <w:p>
      <w:pPr>
        <w:pStyle w:val="4"/>
        <w:bidi w:val="0"/>
        <w:rPr>
          <w:rFonts w:hint="eastAsia"/>
          <w:lang w:val="en-US" w:eastAsia="zh-CN"/>
        </w:rPr>
      </w:pPr>
      <w:bookmarkStart w:id="30" w:name="_Toc13152"/>
      <w:r>
        <w:rPr>
          <w:rFonts w:hint="eastAsia"/>
          <w:lang w:val="en-US" w:eastAsia="zh-CN"/>
        </w:rPr>
        <w:t>6.5运维管理技术产品</w:t>
      </w:r>
      <w:bookmarkEnd w:id="30"/>
    </w:p>
    <w:p>
      <w:pPr>
        <w:pStyle w:val="5"/>
        <w:bidi w:val="0"/>
        <w:rPr>
          <w:rFonts w:hint="default"/>
          <w:lang w:val="en-US" w:eastAsia="zh-CN"/>
        </w:rPr>
      </w:pPr>
      <w:r>
        <w:rPr>
          <w:rFonts w:hint="eastAsia"/>
          <w:lang w:val="en-US" w:eastAsia="zh-CN"/>
        </w:rPr>
        <w:t>6.5.1数据中心能耗监测及智能运维管理系统</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（2）技术原理：通过对数据中心基础设施动力环境及IT基础架构的全面监控及分析，制定出最优策略对各系统进行实时控制，实现数据中心能效最优。</w:t>
      </w:r>
    </w:p>
    <w:p>
      <w:pPr>
        <w:bidi w:val="0"/>
        <w:rPr>
          <w:rFonts w:hint="eastAsia"/>
          <w:lang w:val="en-US" w:eastAsia="zh-CN"/>
        </w:rPr>
      </w:pPr>
      <w:r>
        <w:rPr>
          <w:rFonts w:hint="eastAsia"/>
          <w:lang w:val="en-US" w:eastAsia="zh-CN"/>
        </w:rPr>
        <w:t>（3）主要节能指标：与常规数据中心相比，节电可达30%以上。</w:t>
      </w:r>
    </w:p>
    <w:p>
      <w:pPr>
        <w:rPr>
          <w:rFonts w:hint="eastAsia"/>
          <w:lang w:val="en-US" w:eastAsia="zh-CN"/>
        </w:rPr>
      </w:pPr>
      <w:r>
        <w:rPr>
          <w:rFonts w:hint="eastAsia"/>
          <w:lang w:val="en-US" w:eastAsia="zh-CN"/>
        </w:rPr>
        <w:t>（4）应用实例：某数据中心建筑面积18921平米，机柜数量3196个，平均每年节约电量51.9万余kW·h。</w:t>
      </w:r>
    </w:p>
    <w:p>
      <w:pPr>
        <w:pStyle w:val="5"/>
        <w:bidi w:val="0"/>
        <w:rPr>
          <w:rFonts w:hint="eastAsia"/>
          <w:lang w:val="en-US" w:eastAsia="zh-CN"/>
        </w:rPr>
      </w:pPr>
      <w:r>
        <w:rPr>
          <w:rFonts w:hint="eastAsia"/>
          <w:lang w:val="en-US" w:eastAsia="zh-CN"/>
        </w:rPr>
        <w:t>6.5.2机房环境参数测量分析及AI节能优化技术</w:t>
      </w:r>
    </w:p>
    <w:p>
      <w:pPr>
        <w:bidi w:val="0"/>
        <w:rPr>
          <w:rFonts w:hint="eastAsia"/>
          <w:lang w:val="en-US" w:eastAsia="zh-CN"/>
        </w:rPr>
      </w:pPr>
      <w:r>
        <w:rPr>
          <w:rFonts w:hint="eastAsia"/>
          <w:lang w:val="en-US" w:eastAsia="zh-CN"/>
        </w:rPr>
        <w:t>（1）适用范围：新建数据中心、在用数据中心改造。</w:t>
      </w:r>
    </w:p>
    <w:p>
      <w:pPr>
        <w:bidi w:val="0"/>
        <w:rPr>
          <w:rFonts w:hint="eastAsia"/>
          <w:lang w:val="en-US" w:eastAsia="zh-CN"/>
        </w:rPr>
      </w:pPr>
      <w:r>
        <w:rPr>
          <w:rFonts w:hint="eastAsia"/>
          <w:lang w:val="en-US" w:eastAsia="zh-CN"/>
        </w:rPr>
        <w:t>（2）技术原理：采用可移动便携式测量平台或机器人搭载传感器，短时间内完成机房空间内的温湿度和空气流量等环境参数测量，通过建立气流模型形成温度云图进行热点分析和室内气流能效优化。另可结合动环监控系统以及BA系统的历史数据，通过机器学习模型训练，优化数据中心节能运维管理。</w:t>
      </w:r>
    </w:p>
    <w:p>
      <w:pPr>
        <w:bidi w:val="0"/>
        <w:rPr>
          <w:rFonts w:hint="eastAsia"/>
          <w:lang w:val="en-US" w:eastAsia="zh-CN"/>
        </w:rPr>
      </w:pPr>
      <w:r>
        <w:rPr>
          <w:rFonts w:hint="eastAsia"/>
          <w:lang w:val="en-US" w:eastAsia="zh-CN"/>
        </w:rPr>
        <w:t>（3）主要节能指标：①提高测试效率100%以上；②指导数据中心提高能效利用率10%以上。</w:t>
      </w:r>
    </w:p>
    <w:p>
      <w:pPr>
        <w:rPr>
          <w:rFonts w:hint="eastAsia"/>
          <w:lang w:val="en-US" w:eastAsia="zh-CN"/>
        </w:rPr>
      </w:pPr>
      <w:r>
        <w:rPr>
          <w:rFonts w:hint="eastAsia"/>
          <w:lang w:val="en-US" w:eastAsia="zh-CN"/>
        </w:rPr>
        <w:t>（4）应用实例：某数据中心应用该技术进行测量分析及改造后，仅半年时间即节约电能约19.31万kW·h。</w:t>
      </w:r>
    </w:p>
    <w:p>
      <w:pPr>
        <w:rPr>
          <w:rFonts w:hint="eastAsia"/>
          <w:lang w:val="en-US" w:eastAsia="zh-CN"/>
        </w:rPr>
      </w:pPr>
      <w:r>
        <w:rPr>
          <w:rFonts w:hint="eastAsia"/>
          <w:lang w:val="en-US" w:eastAsia="zh-CN"/>
        </w:rPr>
        <w:br w:type="page"/>
      </w:r>
    </w:p>
    <w:p>
      <w:pPr>
        <w:pStyle w:val="4"/>
        <w:bidi w:val="0"/>
        <w:rPr>
          <w:rFonts w:hint="eastAsia"/>
          <w:lang w:val="en-US" w:eastAsia="zh-CN"/>
        </w:rPr>
      </w:pPr>
      <w:bookmarkStart w:id="31" w:name="_Toc23800"/>
      <w:r>
        <w:rPr>
          <w:rFonts w:hint="eastAsia"/>
          <w:lang w:val="en-US" w:eastAsia="zh-CN"/>
        </w:rPr>
        <w:t>附录A 全国部分城市温度分布系数表</w:t>
      </w:r>
      <w:bookmarkEnd w:id="31"/>
    </w:p>
    <w:p>
      <w:pPr>
        <w:pStyle w:val="19"/>
        <w:bidi w:val="0"/>
        <w:rPr>
          <w:rFonts w:hint="default"/>
          <w:lang w:val="en-US" w:eastAsia="zh-CN"/>
        </w:rPr>
      </w:pPr>
      <w:r>
        <w:rPr>
          <w:rFonts w:hint="eastAsia"/>
          <w:lang w:val="en-US" w:eastAsia="zh-CN"/>
        </w:rPr>
        <w:t>表A.1 全国部分城市的温度分布系数</w:t>
      </w:r>
    </w:p>
    <w:tbl>
      <w:tblPr>
        <w:tblStyle w:val="12"/>
        <w:tblW w:w="83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
        <w:gridCol w:w="1327"/>
        <w:gridCol w:w="1398"/>
        <w:gridCol w:w="1397"/>
        <w:gridCol w:w="1397"/>
        <w:gridCol w:w="1398"/>
        <w:gridCol w:w="13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337" w:type="dxa"/>
            <w:gridSpan w:val="2"/>
            <w:vMerge w:val="restart"/>
            <w:noWrap w:val="0"/>
            <w:vAlign w:val="center"/>
          </w:tcPr>
          <w:p>
            <w:pPr>
              <w:pStyle w:val="17"/>
              <w:bidi w:val="0"/>
              <w:jc w:val="center"/>
              <w:rPr>
                <w:b/>
                <w:bCs/>
              </w:rPr>
            </w:pPr>
            <w:r>
              <w:rPr>
                <w:rFonts w:hint="eastAsia"/>
                <w:b/>
                <w:bCs/>
              </w:rPr>
              <w:t>项目</w:t>
            </w:r>
          </w:p>
        </w:tc>
        <w:tc>
          <w:tcPr>
            <w:tcW w:w="6989" w:type="dxa"/>
            <w:gridSpan w:val="5"/>
            <w:noWrap w:val="0"/>
            <w:vAlign w:val="center"/>
          </w:tcPr>
          <w:p>
            <w:pPr>
              <w:pStyle w:val="17"/>
              <w:bidi w:val="0"/>
              <w:jc w:val="center"/>
              <w:rPr>
                <w:b/>
                <w:bCs/>
              </w:rPr>
            </w:pPr>
            <w:r>
              <w:rPr>
                <w:b/>
                <w:bCs/>
              </w:rPr>
              <w:t>温度区间/℃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337" w:type="dxa"/>
            <w:gridSpan w:val="2"/>
            <w:vMerge w:val="continue"/>
            <w:noWrap w:val="0"/>
            <w:vAlign w:val="center"/>
          </w:tcPr>
          <w:p>
            <w:pPr>
              <w:pStyle w:val="17"/>
              <w:bidi w:val="0"/>
              <w:jc w:val="center"/>
              <w:rPr>
                <w:b/>
                <w:bCs/>
              </w:rPr>
            </w:pPr>
          </w:p>
        </w:tc>
        <w:tc>
          <w:tcPr>
            <w:tcW w:w="1398" w:type="dxa"/>
            <w:noWrap w:val="0"/>
            <w:vAlign w:val="center"/>
          </w:tcPr>
          <w:p>
            <w:pPr>
              <w:pStyle w:val="17"/>
              <w:bidi w:val="0"/>
              <w:jc w:val="center"/>
              <w:rPr>
                <w:b/>
                <w:bCs/>
              </w:rPr>
            </w:pPr>
            <w:r>
              <w:rPr>
                <w:b/>
                <w:bCs/>
              </w:rPr>
              <w:t>≥30</w:t>
            </w:r>
          </w:p>
        </w:tc>
        <w:tc>
          <w:tcPr>
            <w:tcW w:w="1397" w:type="dxa"/>
            <w:noWrap w:val="0"/>
            <w:vAlign w:val="center"/>
          </w:tcPr>
          <w:p>
            <w:pPr>
              <w:pStyle w:val="17"/>
              <w:bidi w:val="0"/>
              <w:jc w:val="center"/>
              <w:rPr>
                <w:b/>
                <w:bCs/>
              </w:rPr>
            </w:pPr>
            <w:r>
              <w:rPr>
                <w:b/>
                <w:bCs/>
              </w:rPr>
              <w:t>≥20,＜30</w:t>
            </w:r>
          </w:p>
        </w:tc>
        <w:tc>
          <w:tcPr>
            <w:tcW w:w="1397" w:type="dxa"/>
            <w:noWrap w:val="0"/>
            <w:vAlign w:val="center"/>
          </w:tcPr>
          <w:p>
            <w:pPr>
              <w:pStyle w:val="17"/>
              <w:bidi w:val="0"/>
              <w:jc w:val="center"/>
              <w:rPr>
                <w:b/>
                <w:bCs/>
              </w:rPr>
            </w:pPr>
            <w:r>
              <w:rPr>
                <w:b/>
                <w:bCs/>
              </w:rPr>
              <w:t>≥10,＜20</w:t>
            </w:r>
          </w:p>
        </w:tc>
        <w:tc>
          <w:tcPr>
            <w:tcW w:w="1398" w:type="dxa"/>
            <w:noWrap w:val="0"/>
            <w:vAlign w:val="center"/>
          </w:tcPr>
          <w:p>
            <w:pPr>
              <w:pStyle w:val="17"/>
              <w:bidi w:val="0"/>
              <w:jc w:val="center"/>
              <w:rPr>
                <w:b/>
                <w:bCs/>
              </w:rPr>
            </w:pPr>
            <w:r>
              <w:rPr>
                <w:b/>
                <w:bCs/>
              </w:rPr>
              <w:t>≥0,＜10</w:t>
            </w:r>
          </w:p>
        </w:tc>
        <w:tc>
          <w:tcPr>
            <w:tcW w:w="1399" w:type="dxa"/>
            <w:noWrap w:val="0"/>
            <w:vAlign w:val="center"/>
          </w:tcPr>
          <w:p>
            <w:pPr>
              <w:pStyle w:val="17"/>
              <w:bidi w:val="0"/>
              <w:jc w:val="center"/>
              <w:rPr>
                <w:b/>
                <w:bCs/>
              </w:rPr>
            </w:pPr>
            <w:r>
              <w:rPr>
                <w:b/>
                <w:bC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337" w:type="dxa"/>
            <w:gridSpan w:val="2"/>
            <w:noWrap w:val="0"/>
            <w:vAlign w:val="center"/>
          </w:tcPr>
          <w:p>
            <w:pPr>
              <w:pStyle w:val="17"/>
              <w:bidi w:val="0"/>
              <w:jc w:val="center"/>
              <w:rPr>
                <w:b/>
                <w:bCs/>
              </w:rPr>
            </w:pPr>
            <w:r>
              <w:rPr>
                <w:rFonts w:hint="eastAsia"/>
                <w:b/>
                <w:bCs/>
              </w:rPr>
              <w:t>温度分布系数</w:t>
            </w:r>
          </w:p>
        </w:tc>
        <w:tc>
          <w:tcPr>
            <w:tcW w:w="1398" w:type="dxa"/>
            <w:noWrap w:val="0"/>
            <w:vAlign w:val="center"/>
          </w:tcPr>
          <w:p>
            <w:pPr>
              <w:pStyle w:val="17"/>
              <w:bidi w:val="0"/>
              <w:jc w:val="center"/>
              <w:rPr>
                <w:b/>
                <w:bCs/>
              </w:rPr>
            </w:pPr>
            <w:r>
              <w:rPr>
                <w:rFonts w:hint="eastAsia"/>
                <w:b/>
                <w:bCs/>
              </w:rPr>
              <w:t>Ta</w:t>
            </w:r>
          </w:p>
        </w:tc>
        <w:tc>
          <w:tcPr>
            <w:tcW w:w="1397" w:type="dxa"/>
            <w:noWrap w:val="0"/>
            <w:vAlign w:val="center"/>
          </w:tcPr>
          <w:p>
            <w:pPr>
              <w:pStyle w:val="17"/>
              <w:bidi w:val="0"/>
              <w:jc w:val="center"/>
              <w:rPr>
                <w:b/>
                <w:bCs/>
              </w:rPr>
            </w:pPr>
            <w:r>
              <w:rPr>
                <w:rFonts w:hint="eastAsia"/>
                <w:b/>
                <w:bCs/>
              </w:rPr>
              <w:t>Tb</w:t>
            </w:r>
          </w:p>
        </w:tc>
        <w:tc>
          <w:tcPr>
            <w:tcW w:w="1397" w:type="dxa"/>
            <w:noWrap w:val="0"/>
            <w:vAlign w:val="center"/>
          </w:tcPr>
          <w:p>
            <w:pPr>
              <w:pStyle w:val="17"/>
              <w:bidi w:val="0"/>
              <w:jc w:val="center"/>
              <w:rPr>
                <w:b/>
                <w:bCs/>
              </w:rPr>
            </w:pPr>
            <w:r>
              <w:rPr>
                <w:rFonts w:hint="eastAsia"/>
                <w:b/>
                <w:bCs/>
              </w:rPr>
              <w:t>T</w:t>
            </w:r>
            <w:r>
              <w:rPr>
                <w:b/>
                <w:bCs/>
              </w:rPr>
              <w:t>c</w:t>
            </w:r>
          </w:p>
        </w:tc>
        <w:tc>
          <w:tcPr>
            <w:tcW w:w="1398" w:type="dxa"/>
            <w:noWrap w:val="0"/>
            <w:vAlign w:val="center"/>
          </w:tcPr>
          <w:p>
            <w:pPr>
              <w:pStyle w:val="17"/>
              <w:bidi w:val="0"/>
              <w:jc w:val="center"/>
              <w:rPr>
                <w:b/>
                <w:bCs/>
              </w:rPr>
            </w:pPr>
            <w:r>
              <w:rPr>
                <w:rFonts w:hint="eastAsia"/>
                <w:b/>
                <w:bCs/>
              </w:rPr>
              <w:t>T</w:t>
            </w:r>
            <w:r>
              <w:rPr>
                <w:b/>
                <w:bCs/>
              </w:rPr>
              <w:t>d</w:t>
            </w:r>
          </w:p>
        </w:tc>
        <w:tc>
          <w:tcPr>
            <w:tcW w:w="1399" w:type="dxa"/>
            <w:noWrap w:val="0"/>
            <w:vAlign w:val="center"/>
          </w:tcPr>
          <w:p>
            <w:pPr>
              <w:pStyle w:val="17"/>
              <w:bidi w:val="0"/>
              <w:jc w:val="center"/>
              <w:rPr>
                <w:b/>
                <w:bCs/>
              </w:rPr>
            </w:pPr>
            <w:r>
              <w:rPr>
                <w:rFonts w:hint="eastAsia"/>
                <w:b/>
                <w:bCs/>
              </w:rPr>
              <w:t>T</w:t>
            </w:r>
            <w:r>
              <w:rPr>
                <w:b/>
                <w:bCs/>
              </w:rPr>
              <w: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兰州</w:t>
            </w:r>
          </w:p>
        </w:tc>
        <w:tc>
          <w:tcPr>
            <w:tcW w:w="1398" w:type="dxa"/>
            <w:noWrap w:val="0"/>
            <w:vAlign w:val="center"/>
          </w:tcPr>
          <w:p>
            <w:pPr>
              <w:pStyle w:val="17"/>
              <w:bidi w:val="0"/>
              <w:jc w:val="center"/>
            </w:pPr>
            <w:r>
              <w:rPr>
                <w:rFonts w:hint="eastAsia"/>
              </w:rPr>
              <w:t>0.033</w:t>
            </w:r>
          </w:p>
        </w:tc>
        <w:tc>
          <w:tcPr>
            <w:tcW w:w="1397" w:type="dxa"/>
            <w:noWrap w:val="0"/>
            <w:vAlign w:val="center"/>
          </w:tcPr>
          <w:p>
            <w:pPr>
              <w:pStyle w:val="17"/>
              <w:bidi w:val="0"/>
              <w:jc w:val="center"/>
            </w:pPr>
            <w:r>
              <w:rPr>
                <w:rFonts w:hint="eastAsia"/>
              </w:rPr>
              <w:t>0.205</w:t>
            </w:r>
          </w:p>
        </w:tc>
        <w:tc>
          <w:tcPr>
            <w:tcW w:w="1397" w:type="dxa"/>
            <w:noWrap w:val="0"/>
            <w:vAlign w:val="center"/>
          </w:tcPr>
          <w:p>
            <w:pPr>
              <w:pStyle w:val="17"/>
              <w:bidi w:val="0"/>
              <w:jc w:val="center"/>
            </w:pPr>
            <w:r>
              <w:rPr>
                <w:rFonts w:hint="eastAsia"/>
              </w:rPr>
              <w:t>0.</w:t>
            </w:r>
            <w:r>
              <w:t>301</w:t>
            </w:r>
          </w:p>
        </w:tc>
        <w:tc>
          <w:tcPr>
            <w:tcW w:w="1398" w:type="dxa"/>
            <w:noWrap w:val="0"/>
            <w:vAlign w:val="center"/>
          </w:tcPr>
          <w:p>
            <w:pPr>
              <w:pStyle w:val="17"/>
              <w:bidi w:val="0"/>
              <w:jc w:val="center"/>
            </w:pPr>
            <w:r>
              <w:rPr>
                <w:rFonts w:hint="eastAsia"/>
              </w:rPr>
              <w:t>0.</w:t>
            </w:r>
            <w:r>
              <w:t>257</w:t>
            </w:r>
          </w:p>
        </w:tc>
        <w:tc>
          <w:tcPr>
            <w:tcW w:w="1399" w:type="dxa"/>
            <w:noWrap w:val="0"/>
            <w:vAlign w:val="center"/>
          </w:tcPr>
          <w:p>
            <w:pPr>
              <w:pStyle w:val="17"/>
              <w:bidi w:val="0"/>
              <w:jc w:val="center"/>
            </w:pPr>
            <w:r>
              <w:rPr>
                <w:rFonts w:hint="eastAsia"/>
              </w:rPr>
              <w:t>0.</w:t>
            </w:r>
            <w:r>
              <w:t>204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贵阳</w:t>
            </w:r>
          </w:p>
        </w:tc>
        <w:tc>
          <w:tcPr>
            <w:tcW w:w="1398" w:type="dxa"/>
            <w:noWrap w:val="0"/>
            <w:vAlign w:val="center"/>
          </w:tcPr>
          <w:p>
            <w:pPr>
              <w:pStyle w:val="17"/>
              <w:bidi w:val="0"/>
              <w:jc w:val="center"/>
            </w:pPr>
            <w:r>
              <w:t>0.008</w:t>
            </w:r>
          </w:p>
        </w:tc>
        <w:tc>
          <w:tcPr>
            <w:tcW w:w="1397" w:type="dxa"/>
            <w:noWrap w:val="0"/>
            <w:vAlign w:val="center"/>
          </w:tcPr>
          <w:p>
            <w:pPr>
              <w:pStyle w:val="17"/>
              <w:bidi w:val="0"/>
              <w:jc w:val="center"/>
            </w:pPr>
            <w:r>
              <w:rPr>
                <w:rFonts w:hint="eastAsia"/>
              </w:rPr>
              <w:t>0.</w:t>
            </w:r>
            <w:r>
              <w:t>3</w:t>
            </w:r>
            <w:r>
              <w:rPr>
                <w:rFonts w:hint="eastAsia"/>
              </w:rPr>
              <w:t>3</w:t>
            </w:r>
            <w:r>
              <w:t>1</w:t>
            </w:r>
          </w:p>
        </w:tc>
        <w:tc>
          <w:tcPr>
            <w:tcW w:w="1397" w:type="dxa"/>
            <w:noWrap w:val="0"/>
            <w:vAlign w:val="center"/>
          </w:tcPr>
          <w:p>
            <w:pPr>
              <w:pStyle w:val="17"/>
              <w:bidi w:val="0"/>
              <w:jc w:val="center"/>
            </w:pPr>
            <w:r>
              <w:rPr>
                <w:rFonts w:hint="eastAsia"/>
              </w:rPr>
              <w:t>0.</w:t>
            </w:r>
            <w:r>
              <w:t>373</w:t>
            </w:r>
          </w:p>
        </w:tc>
        <w:tc>
          <w:tcPr>
            <w:tcW w:w="1398" w:type="dxa"/>
            <w:noWrap w:val="0"/>
            <w:vAlign w:val="center"/>
          </w:tcPr>
          <w:p>
            <w:pPr>
              <w:pStyle w:val="17"/>
              <w:bidi w:val="0"/>
              <w:jc w:val="center"/>
            </w:pPr>
            <w:r>
              <w:rPr>
                <w:rFonts w:hint="eastAsia"/>
              </w:rPr>
              <w:t>0.</w:t>
            </w:r>
            <w:r>
              <w:t>2</w:t>
            </w:r>
            <w:r>
              <w:rPr>
                <w:rFonts w:hint="eastAsia"/>
              </w:rPr>
              <w:t>82</w:t>
            </w:r>
          </w:p>
        </w:tc>
        <w:tc>
          <w:tcPr>
            <w:tcW w:w="1399" w:type="dxa"/>
            <w:noWrap w:val="0"/>
            <w:vAlign w:val="center"/>
          </w:tcPr>
          <w:p>
            <w:pPr>
              <w:pStyle w:val="17"/>
              <w:bidi w:val="0"/>
              <w:jc w:val="center"/>
            </w:pPr>
            <w:r>
              <w:rPr>
                <w:rFonts w:hint="eastAsia"/>
              </w:rPr>
              <w:t>0.</w:t>
            </w:r>
            <w: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石家庄</w:t>
            </w:r>
          </w:p>
        </w:tc>
        <w:tc>
          <w:tcPr>
            <w:tcW w:w="1398" w:type="dxa"/>
            <w:noWrap w:val="0"/>
            <w:vAlign w:val="center"/>
          </w:tcPr>
          <w:p>
            <w:pPr>
              <w:pStyle w:val="17"/>
              <w:bidi w:val="0"/>
              <w:jc w:val="center"/>
            </w:pPr>
            <w:r>
              <w:rPr>
                <w:rFonts w:hint="eastAsia"/>
              </w:rPr>
              <w:t>0.0</w:t>
            </w:r>
            <w:r>
              <w:t>93</w:t>
            </w:r>
          </w:p>
        </w:tc>
        <w:tc>
          <w:tcPr>
            <w:tcW w:w="1397" w:type="dxa"/>
            <w:noWrap w:val="0"/>
            <w:vAlign w:val="center"/>
          </w:tcPr>
          <w:p>
            <w:pPr>
              <w:pStyle w:val="17"/>
              <w:bidi w:val="0"/>
              <w:jc w:val="center"/>
            </w:pPr>
            <w:r>
              <w:rPr>
                <w:rFonts w:hint="eastAsia"/>
              </w:rPr>
              <w:t>0.</w:t>
            </w:r>
            <w:r>
              <w:t>272</w:t>
            </w:r>
          </w:p>
        </w:tc>
        <w:tc>
          <w:tcPr>
            <w:tcW w:w="1397" w:type="dxa"/>
            <w:noWrap w:val="0"/>
            <w:vAlign w:val="center"/>
          </w:tcPr>
          <w:p>
            <w:pPr>
              <w:pStyle w:val="17"/>
              <w:bidi w:val="0"/>
              <w:jc w:val="center"/>
            </w:pPr>
            <w:r>
              <w:rPr>
                <w:rFonts w:hint="eastAsia"/>
              </w:rPr>
              <w:t>0.</w:t>
            </w:r>
            <w:r>
              <w:t>245</w:t>
            </w:r>
          </w:p>
        </w:tc>
        <w:tc>
          <w:tcPr>
            <w:tcW w:w="1398" w:type="dxa"/>
            <w:noWrap w:val="0"/>
            <w:vAlign w:val="center"/>
          </w:tcPr>
          <w:p>
            <w:pPr>
              <w:pStyle w:val="17"/>
              <w:bidi w:val="0"/>
              <w:jc w:val="center"/>
            </w:pPr>
            <w:r>
              <w:rPr>
                <w:rFonts w:hint="eastAsia"/>
              </w:rPr>
              <w:t>0.</w:t>
            </w:r>
            <w:r>
              <w:t>249</w:t>
            </w:r>
          </w:p>
        </w:tc>
        <w:tc>
          <w:tcPr>
            <w:tcW w:w="1399" w:type="dxa"/>
            <w:noWrap w:val="0"/>
            <w:vAlign w:val="center"/>
          </w:tcPr>
          <w:p>
            <w:pPr>
              <w:pStyle w:val="17"/>
              <w:bidi w:val="0"/>
              <w:jc w:val="center"/>
            </w:pPr>
            <w:r>
              <w:rPr>
                <w:rFonts w:hint="eastAsia"/>
              </w:rPr>
              <w:t>0.</w:t>
            </w:r>
            <w:r>
              <w:t>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哈尔滨</w:t>
            </w:r>
          </w:p>
        </w:tc>
        <w:tc>
          <w:tcPr>
            <w:tcW w:w="1398" w:type="dxa"/>
            <w:noWrap w:val="0"/>
            <w:vAlign w:val="center"/>
          </w:tcPr>
          <w:p>
            <w:pPr>
              <w:pStyle w:val="17"/>
              <w:bidi w:val="0"/>
              <w:jc w:val="center"/>
            </w:pPr>
            <w:r>
              <w:rPr>
                <w:rFonts w:hint="eastAsia"/>
              </w:rPr>
              <w:t>0.0</w:t>
            </w:r>
            <w:r>
              <w:t>22</w:t>
            </w:r>
          </w:p>
        </w:tc>
        <w:tc>
          <w:tcPr>
            <w:tcW w:w="1397" w:type="dxa"/>
            <w:noWrap w:val="0"/>
            <w:vAlign w:val="center"/>
          </w:tcPr>
          <w:p>
            <w:pPr>
              <w:pStyle w:val="17"/>
              <w:bidi w:val="0"/>
              <w:jc w:val="center"/>
            </w:pPr>
            <w:r>
              <w:rPr>
                <w:rFonts w:hint="eastAsia"/>
              </w:rPr>
              <w:t>0.</w:t>
            </w:r>
            <w:r>
              <w:t>191</w:t>
            </w:r>
          </w:p>
        </w:tc>
        <w:tc>
          <w:tcPr>
            <w:tcW w:w="1397" w:type="dxa"/>
            <w:noWrap w:val="0"/>
            <w:vAlign w:val="center"/>
          </w:tcPr>
          <w:p>
            <w:pPr>
              <w:pStyle w:val="17"/>
              <w:bidi w:val="0"/>
              <w:jc w:val="center"/>
            </w:pPr>
            <w:r>
              <w:rPr>
                <w:rFonts w:hint="eastAsia"/>
              </w:rPr>
              <w:t>0.</w:t>
            </w:r>
            <w:r>
              <w:t>227</w:t>
            </w:r>
          </w:p>
        </w:tc>
        <w:tc>
          <w:tcPr>
            <w:tcW w:w="1398" w:type="dxa"/>
            <w:noWrap w:val="0"/>
            <w:vAlign w:val="center"/>
          </w:tcPr>
          <w:p>
            <w:pPr>
              <w:pStyle w:val="17"/>
              <w:bidi w:val="0"/>
              <w:jc w:val="center"/>
            </w:pPr>
            <w:r>
              <w:rPr>
                <w:rFonts w:hint="eastAsia"/>
              </w:rPr>
              <w:t>0.</w:t>
            </w:r>
            <w:r>
              <w:t>187</w:t>
            </w:r>
          </w:p>
        </w:tc>
        <w:tc>
          <w:tcPr>
            <w:tcW w:w="1399" w:type="dxa"/>
            <w:noWrap w:val="0"/>
            <w:vAlign w:val="center"/>
          </w:tcPr>
          <w:p>
            <w:pPr>
              <w:pStyle w:val="17"/>
              <w:bidi w:val="0"/>
              <w:jc w:val="center"/>
            </w:pPr>
            <w:r>
              <w:rPr>
                <w:rFonts w:hint="eastAsia"/>
              </w:rPr>
              <w:t>0.</w:t>
            </w:r>
            <w:r>
              <w:t>374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长春</w:t>
            </w:r>
          </w:p>
        </w:tc>
        <w:tc>
          <w:tcPr>
            <w:tcW w:w="1398" w:type="dxa"/>
            <w:noWrap w:val="0"/>
            <w:vAlign w:val="center"/>
          </w:tcPr>
          <w:p>
            <w:pPr>
              <w:pStyle w:val="17"/>
              <w:bidi w:val="0"/>
              <w:jc w:val="center"/>
            </w:pPr>
            <w:r>
              <w:t>0.006</w:t>
            </w:r>
          </w:p>
        </w:tc>
        <w:tc>
          <w:tcPr>
            <w:tcW w:w="1397" w:type="dxa"/>
            <w:noWrap w:val="0"/>
            <w:vAlign w:val="center"/>
          </w:tcPr>
          <w:p>
            <w:pPr>
              <w:pStyle w:val="17"/>
              <w:bidi w:val="0"/>
              <w:jc w:val="center"/>
            </w:pPr>
            <w:r>
              <w:rPr>
                <w:rFonts w:hint="eastAsia"/>
              </w:rPr>
              <w:t>0.</w:t>
            </w:r>
            <w:r>
              <w:t>191</w:t>
            </w:r>
          </w:p>
        </w:tc>
        <w:tc>
          <w:tcPr>
            <w:tcW w:w="1397" w:type="dxa"/>
            <w:noWrap w:val="0"/>
            <w:vAlign w:val="center"/>
          </w:tcPr>
          <w:p>
            <w:pPr>
              <w:pStyle w:val="17"/>
              <w:bidi w:val="0"/>
              <w:jc w:val="center"/>
            </w:pPr>
            <w:r>
              <w:rPr>
                <w:rFonts w:hint="eastAsia"/>
              </w:rPr>
              <w:t>0.</w:t>
            </w:r>
            <w:r>
              <w:t>248</w:t>
            </w:r>
          </w:p>
        </w:tc>
        <w:tc>
          <w:tcPr>
            <w:tcW w:w="1398" w:type="dxa"/>
            <w:noWrap w:val="0"/>
            <w:vAlign w:val="center"/>
          </w:tcPr>
          <w:p>
            <w:pPr>
              <w:pStyle w:val="17"/>
              <w:bidi w:val="0"/>
              <w:jc w:val="center"/>
            </w:pPr>
            <w:r>
              <w:rPr>
                <w:rFonts w:hint="eastAsia"/>
              </w:rPr>
              <w:t>0.</w:t>
            </w:r>
            <w:r>
              <w:t>185</w:t>
            </w:r>
          </w:p>
        </w:tc>
        <w:tc>
          <w:tcPr>
            <w:tcW w:w="1399" w:type="dxa"/>
            <w:noWrap w:val="0"/>
            <w:vAlign w:val="center"/>
          </w:tcPr>
          <w:p>
            <w:pPr>
              <w:pStyle w:val="17"/>
              <w:bidi w:val="0"/>
              <w:jc w:val="center"/>
            </w:pPr>
            <w:r>
              <w:rPr>
                <w:rFonts w:hint="eastAsia"/>
              </w:rPr>
              <w:t>0.</w:t>
            </w:r>
            <w:r>
              <w:t>371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沈阳</w:t>
            </w:r>
          </w:p>
        </w:tc>
        <w:tc>
          <w:tcPr>
            <w:tcW w:w="1398" w:type="dxa"/>
            <w:noWrap w:val="0"/>
            <w:vAlign w:val="center"/>
          </w:tcPr>
          <w:p>
            <w:pPr>
              <w:pStyle w:val="17"/>
              <w:bidi w:val="0"/>
              <w:jc w:val="center"/>
            </w:pPr>
            <w:r>
              <w:rPr>
                <w:rFonts w:hint="eastAsia"/>
              </w:rPr>
              <w:t>0.0</w:t>
            </w:r>
            <w:r>
              <w:t>41</w:t>
            </w:r>
          </w:p>
        </w:tc>
        <w:tc>
          <w:tcPr>
            <w:tcW w:w="1397" w:type="dxa"/>
            <w:noWrap w:val="0"/>
            <w:vAlign w:val="center"/>
          </w:tcPr>
          <w:p>
            <w:pPr>
              <w:pStyle w:val="17"/>
              <w:bidi w:val="0"/>
              <w:jc w:val="center"/>
            </w:pPr>
            <w:r>
              <w:rPr>
                <w:rFonts w:hint="eastAsia"/>
              </w:rPr>
              <w:t>0.</w:t>
            </w:r>
            <w:r>
              <w:t>222</w:t>
            </w:r>
          </w:p>
        </w:tc>
        <w:tc>
          <w:tcPr>
            <w:tcW w:w="1397" w:type="dxa"/>
            <w:noWrap w:val="0"/>
            <w:vAlign w:val="center"/>
          </w:tcPr>
          <w:p>
            <w:pPr>
              <w:pStyle w:val="17"/>
              <w:bidi w:val="0"/>
              <w:jc w:val="center"/>
            </w:pPr>
            <w:r>
              <w:rPr>
                <w:rFonts w:hint="eastAsia"/>
              </w:rPr>
              <w:t>0.</w:t>
            </w:r>
            <w:r>
              <w:t>235</w:t>
            </w:r>
          </w:p>
        </w:tc>
        <w:tc>
          <w:tcPr>
            <w:tcW w:w="1398" w:type="dxa"/>
            <w:noWrap w:val="0"/>
            <w:vAlign w:val="center"/>
          </w:tcPr>
          <w:p>
            <w:pPr>
              <w:pStyle w:val="17"/>
              <w:bidi w:val="0"/>
              <w:jc w:val="center"/>
            </w:pPr>
            <w:r>
              <w:rPr>
                <w:rFonts w:hint="eastAsia"/>
              </w:rPr>
              <w:t>0.</w:t>
            </w:r>
            <w:r>
              <w:t>216</w:t>
            </w:r>
          </w:p>
        </w:tc>
        <w:tc>
          <w:tcPr>
            <w:tcW w:w="1399" w:type="dxa"/>
            <w:noWrap w:val="0"/>
            <w:vAlign w:val="center"/>
          </w:tcPr>
          <w:p>
            <w:pPr>
              <w:pStyle w:val="17"/>
              <w:bidi w:val="0"/>
              <w:jc w:val="center"/>
            </w:pPr>
            <w:r>
              <w:rPr>
                <w:rFonts w:hint="eastAsia"/>
              </w:rPr>
              <w:t>0.</w:t>
            </w:r>
            <w:r>
              <w:t>287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呼和浩特</w:t>
            </w:r>
          </w:p>
        </w:tc>
        <w:tc>
          <w:tcPr>
            <w:tcW w:w="1398" w:type="dxa"/>
            <w:noWrap w:val="0"/>
            <w:vAlign w:val="center"/>
          </w:tcPr>
          <w:p>
            <w:pPr>
              <w:pStyle w:val="17"/>
              <w:bidi w:val="0"/>
              <w:jc w:val="center"/>
            </w:pPr>
            <w:r>
              <w:rPr>
                <w:rFonts w:hint="eastAsia"/>
              </w:rPr>
              <w:t>0.0</w:t>
            </w:r>
            <w:r>
              <w:t>36</w:t>
            </w:r>
          </w:p>
        </w:tc>
        <w:tc>
          <w:tcPr>
            <w:tcW w:w="1397" w:type="dxa"/>
            <w:noWrap w:val="0"/>
            <w:vAlign w:val="center"/>
          </w:tcPr>
          <w:p>
            <w:pPr>
              <w:pStyle w:val="17"/>
              <w:bidi w:val="0"/>
              <w:jc w:val="center"/>
            </w:pPr>
            <w:r>
              <w:rPr>
                <w:rFonts w:hint="eastAsia"/>
              </w:rPr>
              <w:t>0.</w:t>
            </w:r>
            <w:r>
              <w:t>198</w:t>
            </w:r>
          </w:p>
        </w:tc>
        <w:tc>
          <w:tcPr>
            <w:tcW w:w="1397" w:type="dxa"/>
            <w:noWrap w:val="0"/>
            <w:vAlign w:val="center"/>
          </w:tcPr>
          <w:p>
            <w:pPr>
              <w:pStyle w:val="17"/>
              <w:bidi w:val="0"/>
              <w:jc w:val="center"/>
            </w:pPr>
            <w:r>
              <w:rPr>
                <w:rFonts w:hint="eastAsia"/>
              </w:rPr>
              <w:t>0.</w:t>
            </w:r>
            <w:r>
              <w:t>26</w:t>
            </w:r>
          </w:p>
        </w:tc>
        <w:tc>
          <w:tcPr>
            <w:tcW w:w="1398" w:type="dxa"/>
            <w:noWrap w:val="0"/>
            <w:vAlign w:val="center"/>
          </w:tcPr>
          <w:p>
            <w:pPr>
              <w:pStyle w:val="17"/>
              <w:bidi w:val="0"/>
              <w:jc w:val="center"/>
            </w:pPr>
            <w:r>
              <w:rPr>
                <w:rFonts w:hint="eastAsia"/>
              </w:rPr>
              <w:t>0.</w:t>
            </w:r>
            <w:r>
              <w:t>185</w:t>
            </w:r>
          </w:p>
        </w:tc>
        <w:tc>
          <w:tcPr>
            <w:tcW w:w="1399" w:type="dxa"/>
            <w:noWrap w:val="0"/>
            <w:vAlign w:val="center"/>
          </w:tcPr>
          <w:p>
            <w:pPr>
              <w:pStyle w:val="17"/>
              <w:bidi w:val="0"/>
              <w:jc w:val="center"/>
            </w:pPr>
            <w:r>
              <w:rPr>
                <w:rFonts w:hint="eastAsia"/>
              </w:rPr>
              <w:t>0.</w:t>
            </w:r>
            <w:r>
              <w:t>321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西宁</w:t>
            </w:r>
          </w:p>
        </w:tc>
        <w:tc>
          <w:tcPr>
            <w:tcW w:w="1398" w:type="dxa"/>
            <w:noWrap w:val="0"/>
            <w:vAlign w:val="center"/>
          </w:tcPr>
          <w:p>
            <w:pPr>
              <w:pStyle w:val="17"/>
              <w:bidi w:val="0"/>
              <w:jc w:val="center"/>
            </w:pPr>
            <w:r>
              <w:rPr>
                <w:rFonts w:hint="eastAsia"/>
              </w:rPr>
              <w:t>0.0</w:t>
            </w:r>
            <w:r>
              <w:t>07</w:t>
            </w:r>
          </w:p>
        </w:tc>
        <w:tc>
          <w:tcPr>
            <w:tcW w:w="1397" w:type="dxa"/>
            <w:noWrap w:val="0"/>
            <w:vAlign w:val="center"/>
          </w:tcPr>
          <w:p>
            <w:pPr>
              <w:pStyle w:val="17"/>
              <w:bidi w:val="0"/>
              <w:jc w:val="center"/>
            </w:pPr>
            <w:r>
              <w:rPr>
                <w:rFonts w:hint="eastAsia"/>
              </w:rPr>
              <w:t>0.0</w:t>
            </w:r>
            <w:r>
              <w:t>86</w:t>
            </w:r>
          </w:p>
        </w:tc>
        <w:tc>
          <w:tcPr>
            <w:tcW w:w="1397" w:type="dxa"/>
            <w:noWrap w:val="0"/>
            <w:vAlign w:val="center"/>
          </w:tcPr>
          <w:p>
            <w:pPr>
              <w:pStyle w:val="17"/>
              <w:bidi w:val="0"/>
              <w:jc w:val="center"/>
            </w:pPr>
            <w:r>
              <w:rPr>
                <w:rFonts w:hint="eastAsia"/>
              </w:rPr>
              <w:t>0.</w:t>
            </w:r>
            <w:r>
              <w:t>295</w:t>
            </w:r>
          </w:p>
        </w:tc>
        <w:tc>
          <w:tcPr>
            <w:tcW w:w="1398" w:type="dxa"/>
            <w:noWrap w:val="0"/>
            <w:vAlign w:val="center"/>
          </w:tcPr>
          <w:p>
            <w:pPr>
              <w:pStyle w:val="17"/>
              <w:bidi w:val="0"/>
              <w:jc w:val="center"/>
            </w:pPr>
            <w:r>
              <w:rPr>
                <w:rFonts w:hint="eastAsia"/>
              </w:rPr>
              <w:t>0.</w:t>
            </w:r>
            <w:r>
              <w:t>287</w:t>
            </w:r>
          </w:p>
        </w:tc>
        <w:tc>
          <w:tcPr>
            <w:tcW w:w="1399" w:type="dxa"/>
            <w:noWrap w:val="0"/>
            <w:vAlign w:val="center"/>
          </w:tcPr>
          <w:p>
            <w:pPr>
              <w:pStyle w:val="17"/>
              <w:bidi w:val="0"/>
              <w:jc w:val="center"/>
            </w:pPr>
            <w:r>
              <w:rPr>
                <w:rFonts w:hint="eastAsia"/>
              </w:rPr>
              <w:t>0.</w:t>
            </w:r>
            <w:r>
              <w:t>325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银川</w:t>
            </w:r>
          </w:p>
        </w:tc>
        <w:tc>
          <w:tcPr>
            <w:tcW w:w="1398" w:type="dxa"/>
            <w:noWrap w:val="0"/>
            <w:vAlign w:val="center"/>
          </w:tcPr>
          <w:p>
            <w:pPr>
              <w:pStyle w:val="17"/>
              <w:bidi w:val="0"/>
              <w:jc w:val="center"/>
            </w:pPr>
            <w:r>
              <w:rPr>
                <w:rFonts w:hint="eastAsia"/>
              </w:rPr>
              <w:t>0.01</w:t>
            </w:r>
            <w:r>
              <w:t>6</w:t>
            </w:r>
          </w:p>
        </w:tc>
        <w:tc>
          <w:tcPr>
            <w:tcW w:w="1397" w:type="dxa"/>
            <w:noWrap w:val="0"/>
            <w:vAlign w:val="center"/>
          </w:tcPr>
          <w:p>
            <w:pPr>
              <w:pStyle w:val="17"/>
              <w:bidi w:val="0"/>
              <w:jc w:val="center"/>
            </w:pPr>
            <w:r>
              <w:rPr>
                <w:rFonts w:hint="eastAsia"/>
              </w:rPr>
              <w:t>0.</w:t>
            </w:r>
            <w:r>
              <w:t>209</w:t>
            </w:r>
          </w:p>
        </w:tc>
        <w:tc>
          <w:tcPr>
            <w:tcW w:w="1397" w:type="dxa"/>
            <w:noWrap w:val="0"/>
            <w:vAlign w:val="center"/>
          </w:tcPr>
          <w:p>
            <w:pPr>
              <w:pStyle w:val="17"/>
              <w:bidi w:val="0"/>
              <w:jc w:val="center"/>
            </w:pPr>
            <w:r>
              <w:rPr>
                <w:rFonts w:hint="eastAsia"/>
              </w:rPr>
              <w:t>0.</w:t>
            </w:r>
            <w:r>
              <w:t>281</w:t>
            </w:r>
          </w:p>
        </w:tc>
        <w:tc>
          <w:tcPr>
            <w:tcW w:w="1398" w:type="dxa"/>
            <w:noWrap w:val="0"/>
            <w:vAlign w:val="center"/>
          </w:tcPr>
          <w:p>
            <w:pPr>
              <w:pStyle w:val="17"/>
              <w:bidi w:val="0"/>
              <w:jc w:val="center"/>
            </w:pPr>
            <w:r>
              <w:rPr>
                <w:rFonts w:hint="eastAsia"/>
              </w:rPr>
              <w:t>0.</w:t>
            </w:r>
            <w:r>
              <w:t>227</w:t>
            </w:r>
          </w:p>
        </w:tc>
        <w:tc>
          <w:tcPr>
            <w:tcW w:w="1399" w:type="dxa"/>
            <w:noWrap w:val="0"/>
            <w:vAlign w:val="center"/>
          </w:tcPr>
          <w:p>
            <w:pPr>
              <w:pStyle w:val="17"/>
              <w:bidi w:val="0"/>
              <w:jc w:val="center"/>
            </w:pPr>
            <w:r>
              <w:rPr>
                <w:rFonts w:hint="eastAsia"/>
              </w:rPr>
              <w:t>0.</w:t>
            </w:r>
            <w:r>
              <w:t>267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太原</w:t>
            </w:r>
          </w:p>
        </w:tc>
        <w:tc>
          <w:tcPr>
            <w:tcW w:w="1398" w:type="dxa"/>
            <w:noWrap w:val="0"/>
            <w:vAlign w:val="center"/>
          </w:tcPr>
          <w:p>
            <w:pPr>
              <w:pStyle w:val="17"/>
              <w:bidi w:val="0"/>
              <w:jc w:val="center"/>
            </w:pPr>
            <w:r>
              <w:rPr>
                <w:rFonts w:hint="eastAsia"/>
              </w:rPr>
              <w:t>0.01</w:t>
            </w:r>
            <w:r>
              <w:t>4</w:t>
            </w:r>
          </w:p>
        </w:tc>
        <w:tc>
          <w:tcPr>
            <w:tcW w:w="1397" w:type="dxa"/>
            <w:noWrap w:val="0"/>
            <w:vAlign w:val="center"/>
          </w:tcPr>
          <w:p>
            <w:pPr>
              <w:pStyle w:val="17"/>
              <w:bidi w:val="0"/>
              <w:jc w:val="center"/>
            </w:pPr>
            <w:r>
              <w:rPr>
                <w:rFonts w:hint="eastAsia"/>
              </w:rPr>
              <w:t>0.</w:t>
            </w:r>
            <w:r>
              <w:t>239</w:t>
            </w:r>
          </w:p>
        </w:tc>
        <w:tc>
          <w:tcPr>
            <w:tcW w:w="1397" w:type="dxa"/>
            <w:noWrap w:val="0"/>
            <w:vAlign w:val="center"/>
          </w:tcPr>
          <w:p>
            <w:pPr>
              <w:pStyle w:val="17"/>
              <w:bidi w:val="0"/>
              <w:jc w:val="center"/>
            </w:pPr>
            <w:r>
              <w:rPr>
                <w:rFonts w:hint="eastAsia"/>
              </w:rPr>
              <w:t>0.</w:t>
            </w:r>
            <w:r>
              <w:t>282</w:t>
            </w:r>
          </w:p>
        </w:tc>
        <w:tc>
          <w:tcPr>
            <w:tcW w:w="1398" w:type="dxa"/>
            <w:noWrap w:val="0"/>
            <w:vAlign w:val="center"/>
          </w:tcPr>
          <w:p>
            <w:pPr>
              <w:pStyle w:val="17"/>
              <w:bidi w:val="0"/>
              <w:jc w:val="center"/>
            </w:pPr>
            <w:r>
              <w:rPr>
                <w:rFonts w:hint="eastAsia"/>
              </w:rPr>
              <w:t>0.</w:t>
            </w:r>
            <w:r>
              <w:t>259</w:t>
            </w:r>
          </w:p>
        </w:tc>
        <w:tc>
          <w:tcPr>
            <w:tcW w:w="1399" w:type="dxa"/>
            <w:noWrap w:val="0"/>
            <w:vAlign w:val="center"/>
          </w:tcPr>
          <w:p>
            <w:pPr>
              <w:pStyle w:val="17"/>
              <w:bidi w:val="0"/>
              <w:jc w:val="center"/>
            </w:pPr>
            <w:r>
              <w:rPr>
                <w:rFonts w:hint="eastAsia"/>
              </w:rPr>
              <w:t>0.</w:t>
            </w:r>
            <w:r>
              <w:t>205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成都</w:t>
            </w:r>
          </w:p>
        </w:tc>
        <w:tc>
          <w:tcPr>
            <w:tcW w:w="1398" w:type="dxa"/>
            <w:noWrap w:val="0"/>
            <w:vAlign w:val="center"/>
          </w:tcPr>
          <w:p>
            <w:pPr>
              <w:pStyle w:val="17"/>
              <w:bidi w:val="0"/>
              <w:jc w:val="center"/>
            </w:pPr>
            <w:r>
              <w:rPr>
                <w:rFonts w:hint="eastAsia"/>
              </w:rPr>
              <w:t>0.03</w:t>
            </w:r>
            <w:r>
              <w:t>7</w:t>
            </w:r>
          </w:p>
        </w:tc>
        <w:tc>
          <w:tcPr>
            <w:tcW w:w="1397" w:type="dxa"/>
            <w:noWrap w:val="0"/>
            <w:vAlign w:val="center"/>
          </w:tcPr>
          <w:p>
            <w:pPr>
              <w:pStyle w:val="17"/>
              <w:bidi w:val="0"/>
              <w:jc w:val="center"/>
            </w:pPr>
            <w:r>
              <w:rPr>
                <w:rFonts w:hint="eastAsia"/>
              </w:rPr>
              <w:t>0.</w:t>
            </w:r>
            <w:r>
              <w:t>33</w:t>
            </w:r>
          </w:p>
        </w:tc>
        <w:tc>
          <w:tcPr>
            <w:tcW w:w="1397" w:type="dxa"/>
            <w:noWrap w:val="0"/>
            <w:vAlign w:val="center"/>
          </w:tcPr>
          <w:p>
            <w:pPr>
              <w:pStyle w:val="17"/>
              <w:bidi w:val="0"/>
              <w:jc w:val="center"/>
            </w:pPr>
            <w:r>
              <w:rPr>
                <w:rFonts w:hint="eastAsia"/>
              </w:rPr>
              <w:t>0.</w:t>
            </w:r>
            <w:r>
              <w:t>394</w:t>
            </w:r>
          </w:p>
        </w:tc>
        <w:tc>
          <w:tcPr>
            <w:tcW w:w="1398" w:type="dxa"/>
            <w:noWrap w:val="0"/>
            <w:vAlign w:val="center"/>
          </w:tcPr>
          <w:p>
            <w:pPr>
              <w:pStyle w:val="17"/>
              <w:bidi w:val="0"/>
              <w:jc w:val="center"/>
            </w:pPr>
            <w:r>
              <w:rPr>
                <w:rFonts w:hint="eastAsia"/>
              </w:rPr>
              <w:t>0.</w:t>
            </w:r>
            <w:r>
              <w:t>235</w:t>
            </w:r>
          </w:p>
        </w:tc>
        <w:tc>
          <w:tcPr>
            <w:tcW w:w="1399" w:type="dxa"/>
            <w:noWrap w:val="0"/>
            <w:vAlign w:val="center"/>
          </w:tcPr>
          <w:p>
            <w:pPr>
              <w:pStyle w:val="17"/>
              <w:bidi w:val="0"/>
              <w:jc w:val="center"/>
            </w:pPr>
            <w:r>
              <w:t>0</w:t>
            </w:r>
            <w:r>
              <w:rPr>
                <w:rFonts w:hint="eastAsia"/>
              </w:rPr>
              <w:t>.0</w:t>
            </w:r>
            <w: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拉萨</w:t>
            </w:r>
          </w:p>
        </w:tc>
        <w:tc>
          <w:tcPr>
            <w:tcW w:w="1398" w:type="dxa"/>
            <w:noWrap w:val="0"/>
            <w:vAlign w:val="center"/>
          </w:tcPr>
          <w:p>
            <w:pPr>
              <w:pStyle w:val="17"/>
              <w:bidi w:val="0"/>
              <w:jc w:val="center"/>
            </w:pPr>
            <w:r>
              <w:t>0</w:t>
            </w:r>
          </w:p>
        </w:tc>
        <w:tc>
          <w:tcPr>
            <w:tcW w:w="1397" w:type="dxa"/>
            <w:noWrap w:val="0"/>
            <w:vAlign w:val="center"/>
          </w:tcPr>
          <w:p>
            <w:pPr>
              <w:pStyle w:val="17"/>
              <w:bidi w:val="0"/>
              <w:jc w:val="center"/>
            </w:pPr>
            <w:r>
              <w:rPr>
                <w:rFonts w:hint="eastAsia"/>
              </w:rPr>
              <w:t>0.0</w:t>
            </w:r>
            <w:r>
              <w:t>86</w:t>
            </w:r>
          </w:p>
        </w:tc>
        <w:tc>
          <w:tcPr>
            <w:tcW w:w="1397" w:type="dxa"/>
            <w:noWrap w:val="0"/>
            <w:vAlign w:val="center"/>
          </w:tcPr>
          <w:p>
            <w:pPr>
              <w:pStyle w:val="17"/>
              <w:bidi w:val="0"/>
              <w:jc w:val="center"/>
            </w:pPr>
            <w:r>
              <w:rPr>
                <w:rFonts w:hint="eastAsia"/>
              </w:rPr>
              <w:t>0.</w:t>
            </w:r>
            <w:r>
              <w:t>412</w:t>
            </w:r>
          </w:p>
        </w:tc>
        <w:tc>
          <w:tcPr>
            <w:tcW w:w="1398" w:type="dxa"/>
            <w:noWrap w:val="0"/>
            <w:vAlign w:val="center"/>
          </w:tcPr>
          <w:p>
            <w:pPr>
              <w:pStyle w:val="17"/>
              <w:bidi w:val="0"/>
              <w:jc w:val="center"/>
            </w:pPr>
            <w:r>
              <w:rPr>
                <w:rFonts w:hint="eastAsia"/>
              </w:rPr>
              <w:t>0.</w:t>
            </w:r>
            <w:r>
              <w:t>345</w:t>
            </w:r>
          </w:p>
        </w:tc>
        <w:tc>
          <w:tcPr>
            <w:tcW w:w="1399" w:type="dxa"/>
            <w:noWrap w:val="0"/>
            <w:vAlign w:val="center"/>
          </w:tcPr>
          <w:p>
            <w:pPr>
              <w:pStyle w:val="17"/>
              <w:bidi w:val="0"/>
              <w:jc w:val="center"/>
            </w:pPr>
            <w:r>
              <w:rPr>
                <w:rFonts w:hint="eastAsia"/>
              </w:rPr>
              <w:t>0.</w:t>
            </w:r>
            <w:r>
              <w:t>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乌鲁木齐</w:t>
            </w:r>
          </w:p>
        </w:tc>
        <w:tc>
          <w:tcPr>
            <w:tcW w:w="1398" w:type="dxa"/>
            <w:noWrap w:val="0"/>
            <w:vAlign w:val="center"/>
          </w:tcPr>
          <w:p>
            <w:pPr>
              <w:pStyle w:val="17"/>
              <w:bidi w:val="0"/>
              <w:jc w:val="center"/>
            </w:pPr>
            <w:r>
              <w:rPr>
                <w:rFonts w:hint="eastAsia"/>
              </w:rPr>
              <w:t>0.0</w:t>
            </w:r>
            <w:r>
              <w:t>4</w:t>
            </w:r>
          </w:p>
        </w:tc>
        <w:tc>
          <w:tcPr>
            <w:tcW w:w="1397" w:type="dxa"/>
            <w:noWrap w:val="0"/>
            <w:vAlign w:val="center"/>
          </w:tcPr>
          <w:p>
            <w:pPr>
              <w:pStyle w:val="17"/>
              <w:bidi w:val="0"/>
              <w:jc w:val="center"/>
            </w:pPr>
            <w:r>
              <w:rPr>
                <w:rFonts w:hint="eastAsia"/>
              </w:rPr>
              <w:t>0.</w:t>
            </w:r>
            <w:r>
              <w:t>2</w:t>
            </w:r>
            <w:r>
              <w:rPr>
                <w:rFonts w:hint="eastAsia"/>
              </w:rPr>
              <w:t>2</w:t>
            </w:r>
            <w:r>
              <w:t>8</w:t>
            </w:r>
          </w:p>
        </w:tc>
        <w:tc>
          <w:tcPr>
            <w:tcW w:w="1397" w:type="dxa"/>
            <w:noWrap w:val="0"/>
            <w:vAlign w:val="center"/>
          </w:tcPr>
          <w:p>
            <w:pPr>
              <w:pStyle w:val="17"/>
              <w:bidi w:val="0"/>
              <w:jc w:val="center"/>
            </w:pPr>
            <w:r>
              <w:rPr>
                <w:rFonts w:hint="eastAsia"/>
              </w:rPr>
              <w:t>0.</w:t>
            </w:r>
            <w:r>
              <w:t>224</w:t>
            </w:r>
          </w:p>
        </w:tc>
        <w:tc>
          <w:tcPr>
            <w:tcW w:w="1398" w:type="dxa"/>
            <w:noWrap w:val="0"/>
            <w:vAlign w:val="center"/>
          </w:tcPr>
          <w:p>
            <w:pPr>
              <w:pStyle w:val="17"/>
              <w:bidi w:val="0"/>
              <w:jc w:val="center"/>
            </w:pPr>
            <w:r>
              <w:rPr>
                <w:rFonts w:hint="eastAsia"/>
              </w:rPr>
              <w:t>0.</w:t>
            </w:r>
            <w:r>
              <w:t>171</w:t>
            </w:r>
          </w:p>
        </w:tc>
        <w:tc>
          <w:tcPr>
            <w:tcW w:w="1399" w:type="dxa"/>
            <w:noWrap w:val="0"/>
            <w:vAlign w:val="center"/>
          </w:tcPr>
          <w:p>
            <w:pPr>
              <w:pStyle w:val="17"/>
              <w:bidi w:val="0"/>
              <w:jc w:val="center"/>
            </w:pPr>
            <w:r>
              <w:rPr>
                <w:rFonts w:hint="eastAsia"/>
              </w:rPr>
              <w:t>0.</w:t>
            </w:r>
            <w:r>
              <w:t>337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昆明</w:t>
            </w:r>
          </w:p>
        </w:tc>
        <w:tc>
          <w:tcPr>
            <w:tcW w:w="1398" w:type="dxa"/>
            <w:noWrap w:val="0"/>
            <w:vAlign w:val="center"/>
          </w:tcPr>
          <w:p>
            <w:pPr>
              <w:pStyle w:val="17"/>
              <w:bidi w:val="0"/>
              <w:jc w:val="center"/>
            </w:pPr>
            <w:r>
              <w:rPr>
                <w:rFonts w:hint="eastAsia"/>
              </w:rPr>
              <w:t>0</w:t>
            </w:r>
          </w:p>
        </w:tc>
        <w:tc>
          <w:tcPr>
            <w:tcW w:w="1397" w:type="dxa"/>
            <w:noWrap w:val="0"/>
            <w:vAlign w:val="center"/>
          </w:tcPr>
          <w:p>
            <w:pPr>
              <w:pStyle w:val="17"/>
              <w:bidi w:val="0"/>
              <w:jc w:val="center"/>
            </w:pPr>
            <w:r>
              <w:rPr>
                <w:rFonts w:hint="eastAsia"/>
              </w:rPr>
              <w:t>0.</w:t>
            </w:r>
            <w:r>
              <w:t>21</w:t>
            </w:r>
            <w:r>
              <w:rPr>
                <w:rFonts w:hint="eastAsia"/>
              </w:rPr>
              <w:t>9</w:t>
            </w:r>
          </w:p>
        </w:tc>
        <w:tc>
          <w:tcPr>
            <w:tcW w:w="1397" w:type="dxa"/>
            <w:noWrap w:val="0"/>
            <w:vAlign w:val="center"/>
          </w:tcPr>
          <w:p>
            <w:pPr>
              <w:pStyle w:val="17"/>
              <w:bidi w:val="0"/>
              <w:jc w:val="center"/>
            </w:pPr>
            <w:r>
              <w:rPr>
                <w:rFonts w:hint="eastAsia"/>
              </w:rPr>
              <w:t>0.</w:t>
            </w:r>
            <w:r>
              <w:t>525</w:t>
            </w:r>
          </w:p>
        </w:tc>
        <w:tc>
          <w:tcPr>
            <w:tcW w:w="1398" w:type="dxa"/>
            <w:noWrap w:val="0"/>
            <w:vAlign w:val="center"/>
          </w:tcPr>
          <w:p>
            <w:pPr>
              <w:pStyle w:val="17"/>
              <w:bidi w:val="0"/>
              <w:jc w:val="center"/>
            </w:pPr>
            <w:r>
              <w:rPr>
                <w:rFonts w:hint="eastAsia"/>
              </w:rPr>
              <w:t>0.</w:t>
            </w:r>
            <w:r>
              <w:t>239</w:t>
            </w:r>
          </w:p>
        </w:tc>
        <w:tc>
          <w:tcPr>
            <w:tcW w:w="1399" w:type="dxa"/>
            <w:noWrap w:val="0"/>
            <w:vAlign w:val="center"/>
          </w:tcPr>
          <w:p>
            <w:pPr>
              <w:pStyle w:val="17"/>
              <w:bidi w:val="0"/>
              <w:jc w:val="center"/>
            </w:pPr>
            <w:r>
              <w:rPr>
                <w:rFonts w:hint="eastAsia"/>
              </w:rPr>
              <w:t>0.0</w:t>
            </w:r>
            <w: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合肥</w:t>
            </w:r>
          </w:p>
        </w:tc>
        <w:tc>
          <w:tcPr>
            <w:tcW w:w="1398" w:type="dxa"/>
            <w:noWrap w:val="0"/>
            <w:vAlign w:val="center"/>
          </w:tcPr>
          <w:p>
            <w:pPr>
              <w:pStyle w:val="17"/>
              <w:bidi w:val="0"/>
              <w:jc w:val="center"/>
            </w:pPr>
            <w:r>
              <w:rPr>
                <w:rFonts w:hint="eastAsia"/>
              </w:rPr>
              <w:t>0.0</w:t>
            </w:r>
            <w:r>
              <w:t>82</w:t>
            </w:r>
          </w:p>
        </w:tc>
        <w:tc>
          <w:tcPr>
            <w:tcW w:w="1397" w:type="dxa"/>
            <w:noWrap w:val="0"/>
            <w:vAlign w:val="center"/>
          </w:tcPr>
          <w:p>
            <w:pPr>
              <w:pStyle w:val="17"/>
              <w:bidi w:val="0"/>
              <w:jc w:val="center"/>
            </w:pPr>
            <w:r>
              <w:rPr>
                <w:rFonts w:hint="eastAsia"/>
              </w:rPr>
              <w:t>0.</w:t>
            </w:r>
            <w:r>
              <w:t>3</w:t>
            </w:r>
            <w:r>
              <w:rPr>
                <w:rFonts w:hint="eastAsia"/>
              </w:rPr>
              <w:t>4</w:t>
            </w:r>
            <w:r>
              <w:t>3</w:t>
            </w:r>
          </w:p>
        </w:tc>
        <w:tc>
          <w:tcPr>
            <w:tcW w:w="1397" w:type="dxa"/>
            <w:noWrap w:val="0"/>
            <w:vAlign w:val="center"/>
          </w:tcPr>
          <w:p>
            <w:pPr>
              <w:pStyle w:val="17"/>
              <w:bidi w:val="0"/>
              <w:jc w:val="center"/>
            </w:pPr>
            <w:r>
              <w:rPr>
                <w:rFonts w:hint="eastAsia"/>
              </w:rPr>
              <w:t>0.</w:t>
            </w:r>
            <w:r>
              <w:t>273</w:t>
            </w:r>
          </w:p>
        </w:tc>
        <w:tc>
          <w:tcPr>
            <w:tcW w:w="1398" w:type="dxa"/>
            <w:noWrap w:val="0"/>
            <w:vAlign w:val="center"/>
          </w:tcPr>
          <w:p>
            <w:pPr>
              <w:pStyle w:val="17"/>
              <w:bidi w:val="0"/>
              <w:jc w:val="center"/>
            </w:pPr>
            <w:r>
              <w:rPr>
                <w:rFonts w:hint="eastAsia"/>
              </w:rPr>
              <w:t>0.</w:t>
            </w:r>
            <w:r>
              <w:t>28</w:t>
            </w:r>
          </w:p>
        </w:tc>
        <w:tc>
          <w:tcPr>
            <w:tcW w:w="1399" w:type="dxa"/>
            <w:noWrap w:val="0"/>
            <w:vAlign w:val="center"/>
          </w:tcPr>
          <w:p>
            <w:pPr>
              <w:pStyle w:val="17"/>
              <w:bidi w:val="0"/>
              <w:jc w:val="center"/>
            </w:pPr>
            <w:r>
              <w:rPr>
                <w:rFonts w:hint="eastAsia"/>
              </w:rPr>
              <w:t>0.0</w:t>
            </w:r>
            <w: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北京</w:t>
            </w:r>
          </w:p>
        </w:tc>
        <w:tc>
          <w:tcPr>
            <w:tcW w:w="1398" w:type="dxa"/>
            <w:noWrap w:val="0"/>
            <w:vAlign w:val="center"/>
          </w:tcPr>
          <w:p>
            <w:pPr>
              <w:pStyle w:val="17"/>
              <w:bidi w:val="0"/>
              <w:jc w:val="center"/>
            </w:pPr>
            <w:r>
              <w:rPr>
                <w:rFonts w:hint="eastAsia"/>
              </w:rPr>
              <w:t>0.0</w:t>
            </w:r>
            <w:r>
              <w:t>72</w:t>
            </w:r>
          </w:p>
        </w:tc>
        <w:tc>
          <w:tcPr>
            <w:tcW w:w="1397" w:type="dxa"/>
            <w:noWrap w:val="0"/>
            <w:vAlign w:val="center"/>
          </w:tcPr>
          <w:p>
            <w:pPr>
              <w:pStyle w:val="17"/>
              <w:bidi w:val="0"/>
              <w:jc w:val="center"/>
            </w:pPr>
            <w:r>
              <w:rPr>
                <w:rFonts w:hint="eastAsia"/>
              </w:rPr>
              <w:t>0.</w:t>
            </w:r>
            <w:r>
              <w:t>281</w:t>
            </w:r>
          </w:p>
        </w:tc>
        <w:tc>
          <w:tcPr>
            <w:tcW w:w="1397" w:type="dxa"/>
            <w:noWrap w:val="0"/>
            <w:vAlign w:val="center"/>
          </w:tcPr>
          <w:p>
            <w:pPr>
              <w:pStyle w:val="17"/>
              <w:bidi w:val="0"/>
              <w:jc w:val="center"/>
            </w:pPr>
            <w:r>
              <w:rPr>
                <w:rFonts w:hint="eastAsia"/>
              </w:rPr>
              <w:t>0.</w:t>
            </w:r>
            <w:r>
              <w:t>231</w:t>
            </w:r>
          </w:p>
        </w:tc>
        <w:tc>
          <w:tcPr>
            <w:tcW w:w="1398" w:type="dxa"/>
            <w:noWrap w:val="0"/>
            <w:vAlign w:val="center"/>
          </w:tcPr>
          <w:p>
            <w:pPr>
              <w:pStyle w:val="17"/>
              <w:bidi w:val="0"/>
              <w:jc w:val="center"/>
            </w:pPr>
            <w:r>
              <w:rPr>
                <w:rFonts w:hint="eastAsia"/>
              </w:rPr>
              <w:t>0.</w:t>
            </w:r>
            <w:r>
              <w:t>21</w:t>
            </w:r>
          </w:p>
        </w:tc>
        <w:tc>
          <w:tcPr>
            <w:tcW w:w="1399" w:type="dxa"/>
            <w:noWrap w:val="0"/>
            <w:vAlign w:val="center"/>
          </w:tcPr>
          <w:p>
            <w:pPr>
              <w:pStyle w:val="17"/>
              <w:bidi w:val="0"/>
              <w:jc w:val="center"/>
            </w:pPr>
            <w:r>
              <w:rPr>
                <w:rFonts w:hint="eastAsia"/>
              </w:rPr>
              <w:t>0.</w:t>
            </w:r>
            <w:r>
              <w:t>206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福州</w:t>
            </w:r>
          </w:p>
        </w:tc>
        <w:tc>
          <w:tcPr>
            <w:tcW w:w="1398" w:type="dxa"/>
            <w:noWrap w:val="0"/>
            <w:vAlign w:val="center"/>
          </w:tcPr>
          <w:p>
            <w:pPr>
              <w:pStyle w:val="17"/>
              <w:bidi w:val="0"/>
              <w:jc w:val="center"/>
            </w:pPr>
            <w:r>
              <w:rPr>
                <w:rFonts w:hint="eastAsia"/>
              </w:rPr>
              <w:t>0.0</w:t>
            </w:r>
            <w:r>
              <w:t>87</w:t>
            </w:r>
          </w:p>
        </w:tc>
        <w:tc>
          <w:tcPr>
            <w:tcW w:w="1397" w:type="dxa"/>
            <w:noWrap w:val="0"/>
            <w:vAlign w:val="center"/>
          </w:tcPr>
          <w:p>
            <w:pPr>
              <w:pStyle w:val="17"/>
              <w:bidi w:val="0"/>
              <w:jc w:val="center"/>
            </w:pPr>
            <w:r>
              <w:rPr>
                <w:rFonts w:hint="eastAsia"/>
              </w:rPr>
              <w:t>0.</w:t>
            </w:r>
            <w:r>
              <w:t>4</w:t>
            </w:r>
            <w:r>
              <w:rPr>
                <w:rFonts w:hint="eastAsia"/>
              </w:rPr>
              <w:t>4</w:t>
            </w:r>
            <w:r>
              <w:t>7</w:t>
            </w:r>
          </w:p>
        </w:tc>
        <w:tc>
          <w:tcPr>
            <w:tcW w:w="1397" w:type="dxa"/>
            <w:noWrap w:val="0"/>
            <w:vAlign w:val="center"/>
          </w:tcPr>
          <w:p>
            <w:pPr>
              <w:pStyle w:val="17"/>
              <w:bidi w:val="0"/>
              <w:jc w:val="center"/>
            </w:pPr>
            <w:r>
              <w:rPr>
                <w:rFonts w:hint="eastAsia"/>
              </w:rPr>
              <w:t>0.</w:t>
            </w:r>
            <w:r>
              <w:t>362</w:t>
            </w:r>
          </w:p>
        </w:tc>
        <w:tc>
          <w:tcPr>
            <w:tcW w:w="1398" w:type="dxa"/>
            <w:noWrap w:val="0"/>
            <w:vAlign w:val="center"/>
          </w:tcPr>
          <w:p>
            <w:pPr>
              <w:pStyle w:val="17"/>
              <w:bidi w:val="0"/>
              <w:jc w:val="center"/>
            </w:pPr>
            <w:r>
              <w:rPr>
                <w:rFonts w:hint="eastAsia"/>
              </w:rPr>
              <w:t>0.</w:t>
            </w:r>
            <w:r>
              <w:t>104</w:t>
            </w:r>
          </w:p>
        </w:tc>
        <w:tc>
          <w:tcPr>
            <w:tcW w:w="1399" w:type="dxa"/>
            <w:noWrap w:val="0"/>
            <w:vAlign w:val="center"/>
          </w:tcPr>
          <w:p>
            <w:pPr>
              <w:pStyle w:val="17"/>
              <w:bidi w:val="0"/>
              <w:jc w:val="cente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广州</w:t>
            </w:r>
          </w:p>
        </w:tc>
        <w:tc>
          <w:tcPr>
            <w:tcW w:w="1398" w:type="dxa"/>
            <w:noWrap w:val="0"/>
            <w:vAlign w:val="center"/>
          </w:tcPr>
          <w:p>
            <w:pPr>
              <w:pStyle w:val="17"/>
              <w:bidi w:val="0"/>
              <w:jc w:val="center"/>
            </w:pPr>
            <w:r>
              <w:rPr>
                <w:rFonts w:hint="eastAsia"/>
              </w:rPr>
              <w:t>0.</w:t>
            </w:r>
            <w:r>
              <w:t>1</w:t>
            </w:r>
            <w:r>
              <w:rPr>
                <w:rFonts w:hint="eastAsia"/>
              </w:rPr>
              <w:t>2</w:t>
            </w:r>
            <w:r>
              <w:t>7</w:t>
            </w:r>
          </w:p>
        </w:tc>
        <w:tc>
          <w:tcPr>
            <w:tcW w:w="1397" w:type="dxa"/>
            <w:noWrap w:val="0"/>
            <w:vAlign w:val="center"/>
          </w:tcPr>
          <w:p>
            <w:pPr>
              <w:pStyle w:val="17"/>
              <w:bidi w:val="0"/>
              <w:jc w:val="center"/>
            </w:pPr>
            <w:r>
              <w:rPr>
                <w:rFonts w:hint="eastAsia"/>
              </w:rPr>
              <w:t>0.</w:t>
            </w:r>
            <w:r>
              <w:t>54</w:t>
            </w:r>
          </w:p>
        </w:tc>
        <w:tc>
          <w:tcPr>
            <w:tcW w:w="1397" w:type="dxa"/>
            <w:noWrap w:val="0"/>
            <w:vAlign w:val="center"/>
          </w:tcPr>
          <w:p>
            <w:pPr>
              <w:pStyle w:val="17"/>
              <w:bidi w:val="0"/>
              <w:jc w:val="center"/>
            </w:pPr>
            <w:r>
              <w:rPr>
                <w:rFonts w:hint="eastAsia"/>
              </w:rPr>
              <w:t>0.</w:t>
            </w:r>
            <w:r>
              <w:t>283</w:t>
            </w:r>
          </w:p>
        </w:tc>
        <w:tc>
          <w:tcPr>
            <w:tcW w:w="1398" w:type="dxa"/>
            <w:noWrap w:val="0"/>
            <w:vAlign w:val="center"/>
          </w:tcPr>
          <w:p>
            <w:pPr>
              <w:pStyle w:val="17"/>
              <w:bidi w:val="0"/>
              <w:jc w:val="center"/>
            </w:pPr>
            <w:r>
              <w:rPr>
                <w:rFonts w:hint="eastAsia"/>
              </w:rPr>
              <w:t>0.0</w:t>
            </w:r>
            <w:r>
              <w:t>51</w:t>
            </w:r>
          </w:p>
        </w:tc>
        <w:tc>
          <w:tcPr>
            <w:tcW w:w="1399" w:type="dxa"/>
            <w:noWrap w:val="0"/>
            <w:vAlign w:val="center"/>
          </w:tcPr>
          <w:p>
            <w:pPr>
              <w:pStyle w:val="17"/>
              <w:bidi w:val="0"/>
              <w:jc w:val="cente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桂林</w:t>
            </w:r>
          </w:p>
        </w:tc>
        <w:tc>
          <w:tcPr>
            <w:tcW w:w="1398" w:type="dxa"/>
            <w:noWrap w:val="0"/>
            <w:vAlign w:val="center"/>
          </w:tcPr>
          <w:p>
            <w:pPr>
              <w:pStyle w:val="17"/>
              <w:bidi w:val="0"/>
              <w:jc w:val="center"/>
            </w:pPr>
            <w:r>
              <w:rPr>
                <w:rFonts w:hint="eastAsia"/>
              </w:rPr>
              <w:t>0.0</w:t>
            </w:r>
            <w:r>
              <w:t>7</w:t>
            </w:r>
          </w:p>
        </w:tc>
        <w:tc>
          <w:tcPr>
            <w:tcW w:w="1397" w:type="dxa"/>
            <w:noWrap w:val="0"/>
            <w:vAlign w:val="center"/>
          </w:tcPr>
          <w:p>
            <w:pPr>
              <w:pStyle w:val="17"/>
              <w:bidi w:val="0"/>
              <w:jc w:val="center"/>
            </w:pPr>
            <w:r>
              <w:rPr>
                <w:rFonts w:hint="eastAsia"/>
              </w:rPr>
              <w:t>0.</w:t>
            </w:r>
            <w:r>
              <w:t>4</w:t>
            </w:r>
            <w:r>
              <w:rPr>
                <w:rFonts w:hint="eastAsia"/>
              </w:rPr>
              <w:t>2</w:t>
            </w:r>
            <w:r>
              <w:t>7</w:t>
            </w:r>
          </w:p>
        </w:tc>
        <w:tc>
          <w:tcPr>
            <w:tcW w:w="1397" w:type="dxa"/>
            <w:noWrap w:val="0"/>
            <w:vAlign w:val="center"/>
          </w:tcPr>
          <w:p>
            <w:pPr>
              <w:pStyle w:val="17"/>
              <w:bidi w:val="0"/>
              <w:jc w:val="center"/>
            </w:pPr>
            <w:r>
              <w:rPr>
                <w:rFonts w:hint="eastAsia"/>
              </w:rPr>
              <w:t>0.</w:t>
            </w:r>
            <w:r>
              <w:t>324</w:t>
            </w:r>
          </w:p>
        </w:tc>
        <w:tc>
          <w:tcPr>
            <w:tcW w:w="1398" w:type="dxa"/>
            <w:noWrap w:val="0"/>
            <w:vAlign w:val="center"/>
          </w:tcPr>
          <w:p>
            <w:pPr>
              <w:pStyle w:val="17"/>
              <w:bidi w:val="0"/>
              <w:jc w:val="center"/>
            </w:pPr>
            <w:r>
              <w:rPr>
                <w:rFonts w:hint="eastAsia"/>
              </w:rPr>
              <w:t>0.</w:t>
            </w:r>
            <w:r>
              <w:t>179</w:t>
            </w:r>
          </w:p>
        </w:tc>
        <w:tc>
          <w:tcPr>
            <w:tcW w:w="1399" w:type="dxa"/>
            <w:noWrap w:val="0"/>
            <w:vAlign w:val="center"/>
          </w:tcPr>
          <w:p>
            <w:pPr>
              <w:pStyle w:val="17"/>
              <w:bidi w:val="0"/>
              <w:jc w:val="cente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7" w:type="dxa"/>
            <w:gridSpan w:val="2"/>
            <w:noWrap w:val="0"/>
            <w:vAlign w:val="center"/>
          </w:tcPr>
          <w:p>
            <w:pPr>
              <w:pStyle w:val="17"/>
              <w:bidi w:val="0"/>
              <w:jc w:val="center"/>
            </w:pPr>
            <w:r>
              <w:rPr>
                <w:rFonts w:hint="eastAsia"/>
              </w:rPr>
              <w:t>南宁</w:t>
            </w:r>
          </w:p>
        </w:tc>
        <w:tc>
          <w:tcPr>
            <w:tcW w:w="1398" w:type="dxa"/>
            <w:noWrap w:val="0"/>
            <w:vAlign w:val="center"/>
          </w:tcPr>
          <w:p>
            <w:pPr>
              <w:pStyle w:val="17"/>
              <w:bidi w:val="0"/>
              <w:jc w:val="center"/>
            </w:pPr>
            <w:r>
              <w:rPr>
                <w:rFonts w:hint="eastAsia"/>
              </w:rPr>
              <w:t>0.</w:t>
            </w:r>
            <w:r>
              <w:t>1</w:t>
            </w:r>
            <w:r>
              <w:rPr>
                <w:rFonts w:hint="eastAsia"/>
              </w:rPr>
              <w:t>2</w:t>
            </w:r>
            <w:r>
              <w:t>3</w:t>
            </w:r>
          </w:p>
        </w:tc>
        <w:tc>
          <w:tcPr>
            <w:tcW w:w="1397" w:type="dxa"/>
            <w:noWrap w:val="0"/>
            <w:vAlign w:val="center"/>
          </w:tcPr>
          <w:p>
            <w:pPr>
              <w:pStyle w:val="17"/>
              <w:bidi w:val="0"/>
              <w:jc w:val="center"/>
            </w:pPr>
            <w:r>
              <w:rPr>
                <w:rFonts w:hint="eastAsia"/>
              </w:rPr>
              <w:t>0.</w:t>
            </w:r>
            <w:r>
              <w:t>544</w:t>
            </w:r>
          </w:p>
        </w:tc>
        <w:tc>
          <w:tcPr>
            <w:tcW w:w="1397" w:type="dxa"/>
            <w:noWrap w:val="0"/>
            <w:vAlign w:val="center"/>
          </w:tcPr>
          <w:p>
            <w:pPr>
              <w:pStyle w:val="17"/>
              <w:bidi w:val="0"/>
              <w:jc w:val="center"/>
            </w:pPr>
            <w:r>
              <w:rPr>
                <w:rFonts w:hint="eastAsia"/>
              </w:rPr>
              <w:t>0.</w:t>
            </w:r>
            <w:r>
              <w:t>29</w:t>
            </w:r>
          </w:p>
        </w:tc>
        <w:tc>
          <w:tcPr>
            <w:tcW w:w="1398" w:type="dxa"/>
            <w:noWrap w:val="0"/>
            <w:vAlign w:val="center"/>
          </w:tcPr>
          <w:p>
            <w:pPr>
              <w:pStyle w:val="17"/>
              <w:bidi w:val="0"/>
              <w:jc w:val="center"/>
            </w:pPr>
            <w:r>
              <w:rPr>
                <w:rFonts w:hint="eastAsia"/>
              </w:rPr>
              <w:t>0.0</w:t>
            </w:r>
            <w:r>
              <w:t>43</w:t>
            </w:r>
          </w:p>
        </w:tc>
        <w:tc>
          <w:tcPr>
            <w:tcW w:w="1399" w:type="dxa"/>
            <w:noWrap w:val="0"/>
            <w:vAlign w:val="center"/>
          </w:tcPr>
          <w:p>
            <w:pPr>
              <w:pStyle w:val="17"/>
              <w:bidi w:val="0"/>
              <w:jc w:val="cente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海口</w:t>
            </w:r>
          </w:p>
        </w:tc>
        <w:tc>
          <w:tcPr>
            <w:tcW w:w="1398" w:type="dxa"/>
            <w:noWrap w:val="0"/>
            <w:vAlign w:val="center"/>
          </w:tcPr>
          <w:p>
            <w:pPr>
              <w:pStyle w:val="17"/>
              <w:bidi w:val="0"/>
              <w:jc w:val="center"/>
            </w:pPr>
            <w:r>
              <w:rPr>
                <w:rFonts w:hint="eastAsia"/>
              </w:rPr>
              <w:t>0.</w:t>
            </w:r>
            <w:r>
              <w:t>128</w:t>
            </w:r>
          </w:p>
        </w:tc>
        <w:tc>
          <w:tcPr>
            <w:tcW w:w="1397" w:type="dxa"/>
            <w:noWrap w:val="0"/>
            <w:vAlign w:val="center"/>
          </w:tcPr>
          <w:p>
            <w:pPr>
              <w:pStyle w:val="17"/>
              <w:bidi w:val="0"/>
              <w:jc w:val="center"/>
            </w:pPr>
            <w:r>
              <w:rPr>
                <w:rFonts w:hint="eastAsia"/>
              </w:rPr>
              <w:t>0.</w:t>
            </w:r>
            <w:r>
              <w:t>632</w:t>
            </w:r>
          </w:p>
        </w:tc>
        <w:tc>
          <w:tcPr>
            <w:tcW w:w="1397" w:type="dxa"/>
            <w:noWrap w:val="0"/>
            <w:vAlign w:val="center"/>
          </w:tcPr>
          <w:p>
            <w:pPr>
              <w:pStyle w:val="17"/>
              <w:bidi w:val="0"/>
              <w:jc w:val="center"/>
            </w:pPr>
            <w:r>
              <w:rPr>
                <w:rFonts w:hint="eastAsia"/>
              </w:rPr>
              <w:t>0.</w:t>
            </w:r>
            <w:r>
              <w:t>224</w:t>
            </w:r>
          </w:p>
        </w:tc>
        <w:tc>
          <w:tcPr>
            <w:tcW w:w="1398" w:type="dxa"/>
            <w:noWrap w:val="0"/>
            <w:vAlign w:val="center"/>
          </w:tcPr>
          <w:p>
            <w:pPr>
              <w:pStyle w:val="17"/>
              <w:bidi w:val="0"/>
              <w:jc w:val="center"/>
            </w:pPr>
            <w:r>
              <w:rPr>
                <w:rFonts w:hint="eastAsia"/>
              </w:rPr>
              <w:t>0.0</w:t>
            </w:r>
            <w:r>
              <w:t>16</w:t>
            </w:r>
          </w:p>
        </w:tc>
        <w:tc>
          <w:tcPr>
            <w:tcW w:w="1399" w:type="dxa"/>
            <w:noWrap w:val="0"/>
            <w:vAlign w:val="center"/>
          </w:tcPr>
          <w:p>
            <w:pPr>
              <w:pStyle w:val="17"/>
              <w:bidi w:val="0"/>
              <w:jc w:val="cente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郑州</w:t>
            </w:r>
          </w:p>
        </w:tc>
        <w:tc>
          <w:tcPr>
            <w:tcW w:w="1398" w:type="dxa"/>
            <w:noWrap w:val="0"/>
            <w:vAlign w:val="center"/>
          </w:tcPr>
          <w:p>
            <w:pPr>
              <w:pStyle w:val="17"/>
              <w:bidi w:val="0"/>
              <w:jc w:val="center"/>
            </w:pPr>
            <w:r>
              <w:rPr>
                <w:rFonts w:hint="eastAsia"/>
              </w:rPr>
              <w:t>0.0</w:t>
            </w:r>
            <w:r>
              <w:t>69</w:t>
            </w:r>
          </w:p>
        </w:tc>
        <w:tc>
          <w:tcPr>
            <w:tcW w:w="1397" w:type="dxa"/>
            <w:noWrap w:val="0"/>
            <w:vAlign w:val="center"/>
          </w:tcPr>
          <w:p>
            <w:pPr>
              <w:pStyle w:val="17"/>
              <w:bidi w:val="0"/>
              <w:jc w:val="center"/>
            </w:pPr>
            <w:r>
              <w:rPr>
                <w:rFonts w:hint="eastAsia"/>
              </w:rPr>
              <w:t>0.</w:t>
            </w:r>
            <w:r>
              <w:t>296</w:t>
            </w:r>
          </w:p>
        </w:tc>
        <w:tc>
          <w:tcPr>
            <w:tcW w:w="1397" w:type="dxa"/>
            <w:noWrap w:val="0"/>
            <w:vAlign w:val="center"/>
          </w:tcPr>
          <w:p>
            <w:pPr>
              <w:pStyle w:val="17"/>
              <w:bidi w:val="0"/>
              <w:jc w:val="center"/>
            </w:pPr>
            <w:r>
              <w:rPr>
                <w:rFonts w:hint="eastAsia"/>
              </w:rPr>
              <w:t>0.</w:t>
            </w:r>
            <w:r>
              <w:t>255</w:t>
            </w:r>
          </w:p>
        </w:tc>
        <w:tc>
          <w:tcPr>
            <w:tcW w:w="1398" w:type="dxa"/>
            <w:noWrap w:val="0"/>
            <w:vAlign w:val="center"/>
          </w:tcPr>
          <w:p>
            <w:pPr>
              <w:pStyle w:val="17"/>
              <w:bidi w:val="0"/>
              <w:jc w:val="center"/>
            </w:pPr>
            <w:r>
              <w:rPr>
                <w:rFonts w:hint="eastAsia"/>
              </w:rPr>
              <w:t>0.</w:t>
            </w:r>
            <w:r>
              <w:t>23</w:t>
            </w:r>
          </w:p>
        </w:tc>
        <w:tc>
          <w:tcPr>
            <w:tcW w:w="1399" w:type="dxa"/>
            <w:noWrap w:val="0"/>
            <w:vAlign w:val="center"/>
          </w:tcPr>
          <w:p>
            <w:pPr>
              <w:pStyle w:val="17"/>
              <w:bidi w:val="0"/>
              <w:jc w:val="center"/>
            </w:pPr>
            <w:r>
              <w:rPr>
                <w:rFonts w:hint="eastAsia"/>
              </w:rPr>
              <w:t>0.</w:t>
            </w:r>
            <w: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武汉</w:t>
            </w:r>
          </w:p>
        </w:tc>
        <w:tc>
          <w:tcPr>
            <w:tcW w:w="1398" w:type="dxa"/>
            <w:noWrap w:val="0"/>
            <w:vAlign w:val="center"/>
          </w:tcPr>
          <w:p>
            <w:pPr>
              <w:pStyle w:val="17"/>
              <w:bidi w:val="0"/>
              <w:jc w:val="center"/>
            </w:pPr>
            <w:r>
              <w:rPr>
                <w:rFonts w:hint="eastAsia"/>
              </w:rPr>
              <w:t>0.</w:t>
            </w:r>
            <w:r>
              <w:t>128</w:t>
            </w:r>
          </w:p>
        </w:tc>
        <w:tc>
          <w:tcPr>
            <w:tcW w:w="1397" w:type="dxa"/>
            <w:noWrap w:val="0"/>
            <w:vAlign w:val="center"/>
          </w:tcPr>
          <w:p>
            <w:pPr>
              <w:pStyle w:val="17"/>
              <w:bidi w:val="0"/>
              <w:jc w:val="center"/>
            </w:pPr>
            <w:r>
              <w:rPr>
                <w:rFonts w:hint="eastAsia"/>
              </w:rPr>
              <w:t>0.</w:t>
            </w:r>
            <w:r>
              <w:t>331</w:t>
            </w:r>
          </w:p>
        </w:tc>
        <w:tc>
          <w:tcPr>
            <w:tcW w:w="1397" w:type="dxa"/>
            <w:noWrap w:val="0"/>
            <w:vAlign w:val="center"/>
          </w:tcPr>
          <w:p>
            <w:pPr>
              <w:pStyle w:val="17"/>
              <w:bidi w:val="0"/>
              <w:jc w:val="center"/>
            </w:pPr>
            <w:r>
              <w:rPr>
                <w:rFonts w:hint="eastAsia"/>
              </w:rPr>
              <w:t>0.</w:t>
            </w:r>
            <w:r>
              <w:t>278</w:t>
            </w:r>
          </w:p>
        </w:tc>
        <w:tc>
          <w:tcPr>
            <w:tcW w:w="1398" w:type="dxa"/>
            <w:noWrap w:val="0"/>
            <w:vAlign w:val="center"/>
          </w:tcPr>
          <w:p>
            <w:pPr>
              <w:pStyle w:val="17"/>
              <w:bidi w:val="0"/>
              <w:jc w:val="center"/>
            </w:pPr>
            <w:r>
              <w:rPr>
                <w:rFonts w:hint="eastAsia"/>
              </w:rPr>
              <w:t>0.</w:t>
            </w:r>
            <w:r>
              <w:t>25</w:t>
            </w:r>
          </w:p>
        </w:tc>
        <w:tc>
          <w:tcPr>
            <w:tcW w:w="1399" w:type="dxa"/>
            <w:noWrap w:val="0"/>
            <w:vAlign w:val="center"/>
          </w:tcPr>
          <w:p>
            <w:pPr>
              <w:pStyle w:val="17"/>
              <w:bidi w:val="0"/>
              <w:jc w:val="center"/>
            </w:pPr>
            <w:r>
              <w:rPr>
                <w:rFonts w:hint="eastAsia"/>
              </w:rPr>
              <w:t>0.0</w:t>
            </w:r>
            <w: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长沙</w:t>
            </w:r>
          </w:p>
        </w:tc>
        <w:tc>
          <w:tcPr>
            <w:tcW w:w="1398" w:type="dxa"/>
            <w:noWrap w:val="0"/>
            <w:vAlign w:val="center"/>
          </w:tcPr>
          <w:p>
            <w:pPr>
              <w:pStyle w:val="17"/>
              <w:bidi w:val="0"/>
              <w:jc w:val="center"/>
            </w:pPr>
            <w:r>
              <w:rPr>
                <w:rFonts w:hint="eastAsia"/>
              </w:rPr>
              <w:t>0.</w:t>
            </w:r>
            <w:r>
              <w:t>1</w:t>
            </w:r>
            <w:r>
              <w:rPr>
                <w:rFonts w:hint="eastAsia"/>
              </w:rPr>
              <w:t>1</w:t>
            </w:r>
            <w:r>
              <w:t>5</w:t>
            </w:r>
          </w:p>
        </w:tc>
        <w:tc>
          <w:tcPr>
            <w:tcW w:w="1397" w:type="dxa"/>
            <w:noWrap w:val="0"/>
            <w:vAlign w:val="center"/>
          </w:tcPr>
          <w:p>
            <w:pPr>
              <w:pStyle w:val="17"/>
              <w:bidi w:val="0"/>
              <w:jc w:val="center"/>
            </w:pPr>
            <w:r>
              <w:rPr>
                <w:rFonts w:hint="eastAsia"/>
              </w:rPr>
              <w:t>0.</w:t>
            </w:r>
            <w:r>
              <w:t>333</w:t>
            </w:r>
          </w:p>
        </w:tc>
        <w:tc>
          <w:tcPr>
            <w:tcW w:w="1397" w:type="dxa"/>
            <w:noWrap w:val="0"/>
            <w:vAlign w:val="center"/>
          </w:tcPr>
          <w:p>
            <w:pPr>
              <w:pStyle w:val="17"/>
              <w:bidi w:val="0"/>
              <w:jc w:val="center"/>
            </w:pPr>
            <w:r>
              <w:rPr>
                <w:rFonts w:hint="eastAsia"/>
              </w:rPr>
              <w:t>0.</w:t>
            </w:r>
            <w:r>
              <w:t>271</w:t>
            </w:r>
          </w:p>
        </w:tc>
        <w:tc>
          <w:tcPr>
            <w:tcW w:w="1398" w:type="dxa"/>
            <w:noWrap w:val="0"/>
            <w:vAlign w:val="center"/>
          </w:tcPr>
          <w:p>
            <w:pPr>
              <w:pStyle w:val="17"/>
              <w:bidi w:val="0"/>
              <w:jc w:val="center"/>
            </w:pPr>
            <w:r>
              <w:rPr>
                <w:rFonts w:hint="eastAsia"/>
              </w:rPr>
              <w:t>0.</w:t>
            </w:r>
            <w:r>
              <w:t>262</w:t>
            </w:r>
          </w:p>
        </w:tc>
        <w:tc>
          <w:tcPr>
            <w:tcW w:w="1399" w:type="dxa"/>
            <w:noWrap w:val="0"/>
            <w:vAlign w:val="center"/>
          </w:tcPr>
          <w:p>
            <w:pPr>
              <w:pStyle w:val="17"/>
              <w:bidi w:val="0"/>
              <w:jc w:val="center"/>
            </w:pPr>
            <w:r>
              <w:rPr>
                <w:rFonts w:hint="eastAsia"/>
              </w:rPr>
              <w:t>0.0</w:t>
            </w:r>
            <w: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南京</w:t>
            </w:r>
          </w:p>
        </w:tc>
        <w:tc>
          <w:tcPr>
            <w:tcW w:w="1398" w:type="dxa"/>
            <w:noWrap w:val="0"/>
            <w:vAlign w:val="center"/>
          </w:tcPr>
          <w:p>
            <w:pPr>
              <w:pStyle w:val="17"/>
              <w:bidi w:val="0"/>
              <w:jc w:val="center"/>
            </w:pPr>
            <w:r>
              <w:rPr>
                <w:rFonts w:hint="eastAsia"/>
              </w:rPr>
              <w:t>0.0</w:t>
            </w:r>
            <w:r>
              <w:t>77</w:t>
            </w:r>
          </w:p>
        </w:tc>
        <w:tc>
          <w:tcPr>
            <w:tcW w:w="1397" w:type="dxa"/>
            <w:noWrap w:val="0"/>
            <w:vAlign w:val="center"/>
          </w:tcPr>
          <w:p>
            <w:pPr>
              <w:pStyle w:val="17"/>
              <w:bidi w:val="0"/>
              <w:jc w:val="center"/>
            </w:pPr>
            <w:r>
              <w:rPr>
                <w:rFonts w:hint="eastAsia"/>
              </w:rPr>
              <w:t>0.</w:t>
            </w:r>
            <w:r>
              <w:t>298</w:t>
            </w:r>
          </w:p>
        </w:tc>
        <w:tc>
          <w:tcPr>
            <w:tcW w:w="1397" w:type="dxa"/>
            <w:noWrap w:val="0"/>
            <w:vAlign w:val="center"/>
          </w:tcPr>
          <w:p>
            <w:pPr>
              <w:pStyle w:val="17"/>
              <w:bidi w:val="0"/>
              <w:jc w:val="center"/>
            </w:pPr>
            <w:r>
              <w:rPr>
                <w:rFonts w:hint="eastAsia"/>
              </w:rPr>
              <w:t>0.</w:t>
            </w:r>
            <w:r>
              <w:t>269</w:t>
            </w:r>
          </w:p>
        </w:tc>
        <w:tc>
          <w:tcPr>
            <w:tcW w:w="1398" w:type="dxa"/>
            <w:noWrap w:val="0"/>
            <w:vAlign w:val="center"/>
          </w:tcPr>
          <w:p>
            <w:pPr>
              <w:pStyle w:val="17"/>
              <w:bidi w:val="0"/>
              <w:jc w:val="center"/>
            </w:pPr>
            <w:r>
              <w:rPr>
                <w:rFonts w:hint="eastAsia"/>
              </w:rPr>
              <w:t>0.</w:t>
            </w:r>
            <w:r>
              <w:t>276</w:t>
            </w:r>
          </w:p>
        </w:tc>
        <w:tc>
          <w:tcPr>
            <w:tcW w:w="1399" w:type="dxa"/>
            <w:noWrap w:val="0"/>
            <w:vAlign w:val="center"/>
          </w:tcPr>
          <w:p>
            <w:pPr>
              <w:pStyle w:val="17"/>
              <w:bidi w:val="0"/>
              <w:jc w:val="center"/>
            </w:pPr>
            <w:r>
              <w:rPr>
                <w:rFonts w:hint="eastAsia"/>
              </w:rPr>
              <w:t>0.0</w:t>
            </w:r>
            <w:r>
              <w:t>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南昌</w:t>
            </w:r>
          </w:p>
        </w:tc>
        <w:tc>
          <w:tcPr>
            <w:tcW w:w="1398" w:type="dxa"/>
            <w:noWrap w:val="0"/>
            <w:vAlign w:val="center"/>
          </w:tcPr>
          <w:p>
            <w:pPr>
              <w:pStyle w:val="17"/>
              <w:bidi w:val="0"/>
              <w:jc w:val="center"/>
            </w:pPr>
            <w:r>
              <w:rPr>
                <w:rFonts w:hint="eastAsia"/>
              </w:rPr>
              <w:t>0.</w:t>
            </w:r>
            <w:r>
              <w:t>129</w:t>
            </w:r>
          </w:p>
        </w:tc>
        <w:tc>
          <w:tcPr>
            <w:tcW w:w="1397" w:type="dxa"/>
            <w:noWrap w:val="0"/>
            <w:vAlign w:val="center"/>
          </w:tcPr>
          <w:p>
            <w:pPr>
              <w:pStyle w:val="17"/>
              <w:bidi w:val="0"/>
              <w:jc w:val="center"/>
            </w:pPr>
            <w:r>
              <w:rPr>
                <w:rFonts w:hint="eastAsia"/>
              </w:rPr>
              <w:t>0.</w:t>
            </w:r>
            <w:r>
              <w:t>349</w:t>
            </w:r>
          </w:p>
        </w:tc>
        <w:tc>
          <w:tcPr>
            <w:tcW w:w="1397" w:type="dxa"/>
            <w:noWrap w:val="0"/>
            <w:vAlign w:val="center"/>
          </w:tcPr>
          <w:p>
            <w:pPr>
              <w:pStyle w:val="17"/>
              <w:bidi w:val="0"/>
              <w:jc w:val="center"/>
            </w:pPr>
            <w:r>
              <w:rPr>
                <w:rFonts w:hint="eastAsia"/>
              </w:rPr>
              <w:t>0.</w:t>
            </w:r>
            <w:r>
              <w:t>273</w:t>
            </w:r>
          </w:p>
        </w:tc>
        <w:tc>
          <w:tcPr>
            <w:tcW w:w="1398" w:type="dxa"/>
            <w:noWrap w:val="0"/>
            <w:vAlign w:val="center"/>
          </w:tcPr>
          <w:p>
            <w:pPr>
              <w:pStyle w:val="17"/>
              <w:bidi w:val="0"/>
              <w:jc w:val="center"/>
            </w:pPr>
            <w:r>
              <w:rPr>
                <w:rFonts w:hint="eastAsia"/>
              </w:rPr>
              <w:t>0.</w:t>
            </w:r>
            <w:r>
              <w:t>241</w:t>
            </w:r>
          </w:p>
        </w:tc>
        <w:tc>
          <w:tcPr>
            <w:tcW w:w="1399" w:type="dxa"/>
            <w:noWrap w:val="0"/>
            <w:vAlign w:val="center"/>
          </w:tcPr>
          <w:p>
            <w:pPr>
              <w:pStyle w:val="17"/>
              <w:bidi w:val="0"/>
              <w:jc w:val="center"/>
            </w:pPr>
            <w:r>
              <w:rPr>
                <w:rFonts w:hint="eastAsia"/>
              </w:rPr>
              <w:t>0.0</w:t>
            </w:r>
            <w:r>
              <w:t>0</w:t>
            </w:r>
            <w:r>
              <w:rPr>
                <w:rFonts w:hint="eastAsia"/>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济南</w:t>
            </w:r>
          </w:p>
        </w:tc>
        <w:tc>
          <w:tcPr>
            <w:tcW w:w="1398" w:type="dxa"/>
            <w:noWrap w:val="0"/>
            <w:vAlign w:val="center"/>
          </w:tcPr>
          <w:p>
            <w:pPr>
              <w:pStyle w:val="17"/>
              <w:bidi w:val="0"/>
              <w:jc w:val="center"/>
            </w:pPr>
            <w:r>
              <w:rPr>
                <w:rFonts w:hint="eastAsia"/>
              </w:rPr>
              <w:t>0.</w:t>
            </w:r>
            <w:r>
              <w:t>1</w:t>
            </w:r>
            <w:r>
              <w:rPr>
                <w:rFonts w:hint="eastAsia"/>
              </w:rPr>
              <w:t>0</w:t>
            </w:r>
            <w:r>
              <w:t>8</w:t>
            </w:r>
          </w:p>
        </w:tc>
        <w:tc>
          <w:tcPr>
            <w:tcW w:w="1397" w:type="dxa"/>
            <w:noWrap w:val="0"/>
            <w:vAlign w:val="center"/>
          </w:tcPr>
          <w:p>
            <w:pPr>
              <w:pStyle w:val="17"/>
              <w:bidi w:val="0"/>
              <w:jc w:val="center"/>
            </w:pPr>
            <w:r>
              <w:rPr>
                <w:rFonts w:hint="eastAsia"/>
              </w:rPr>
              <w:t>0.</w:t>
            </w:r>
            <w:r>
              <w:t>284</w:t>
            </w:r>
          </w:p>
        </w:tc>
        <w:tc>
          <w:tcPr>
            <w:tcW w:w="1397" w:type="dxa"/>
            <w:noWrap w:val="0"/>
            <w:vAlign w:val="center"/>
          </w:tcPr>
          <w:p>
            <w:pPr>
              <w:pStyle w:val="17"/>
              <w:bidi w:val="0"/>
              <w:jc w:val="center"/>
            </w:pPr>
            <w:r>
              <w:rPr>
                <w:rFonts w:hint="eastAsia"/>
              </w:rPr>
              <w:t>0.</w:t>
            </w:r>
            <w:r>
              <w:t>248</w:t>
            </w:r>
          </w:p>
        </w:tc>
        <w:tc>
          <w:tcPr>
            <w:tcW w:w="1398" w:type="dxa"/>
            <w:noWrap w:val="0"/>
            <w:vAlign w:val="center"/>
          </w:tcPr>
          <w:p>
            <w:pPr>
              <w:pStyle w:val="17"/>
              <w:bidi w:val="0"/>
              <w:jc w:val="center"/>
            </w:pPr>
            <w:r>
              <w:rPr>
                <w:rFonts w:hint="eastAsia"/>
              </w:rPr>
              <w:t>0.</w:t>
            </w:r>
            <w:r>
              <w:t>27</w:t>
            </w:r>
          </w:p>
        </w:tc>
        <w:tc>
          <w:tcPr>
            <w:tcW w:w="1399" w:type="dxa"/>
            <w:noWrap w:val="0"/>
            <w:vAlign w:val="center"/>
          </w:tcPr>
          <w:p>
            <w:pPr>
              <w:pStyle w:val="17"/>
              <w:bidi w:val="0"/>
              <w:jc w:val="center"/>
            </w:pPr>
            <w:r>
              <w:rPr>
                <w:rFonts w:hint="eastAsia"/>
              </w:rPr>
              <w:t>0.0</w:t>
            </w:r>
            <w: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西安</w:t>
            </w:r>
          </w:p>
        </w:tc>
        <w:tc>
          <w:tcPr>
            <w:tcW w:w="1398" w:type="dxa"/>
            <w:noWrap w:val="0"/>
            <w:vAlign w:val="center"/>
          </w:tcPr>
          <w:p>
            <w:pPr>
              <w:pStyle w:val="17"/>
              <w:bidi w:val="0"/>
              <w:jc w:val="center"/>
            </w:pPr>
            <w:r>
              <w:rPr>
                <w:rFonts w:hint="eastAsia"/>
              </w:rPr>
              <w:t>0.0</w:t>
            </w:r>
            <w:r>
              <w:t>6</w:t>
            </w:r>
          </w:p>
        </w:tc>
        <w:tc>
          <w:tcPr>
            <w:tcW w:w="1397" w:type="dxa"/>
            <w:noWrap w:val="0"/>
            <w:vAlign w:val="center"/>
          </w:tcPr>
          <w:p>
            <w:pPr>
              <w:pStyle w:val="17"/>
              <w:bidi w:val="0"/>
              <w:jc w:val="center"/>
            </w:pPr>
            <w:r>
              <w:rPr>
                <w:rFonts w:hint="eastAsia"/>
              </w:rPr>
              <w:t>0.</w:t>
            </w:r>
            <w:r>
              <w:t>278</w:t>
            </w:r>
          </w:p>
        </w:tc>
        <w:tc>
          <w:tcPr>
            <w:tcW w:w="1397" w:type="dxa"/>
            <w:noWrap w:val="0"/>
            <w:vAlign w:val="center"/>
          </w:tcPr>
          <w:p>
            <w:pPr>
              <w:pStyle w:val="17"/>
              <w:bidi w:val="0"/>
              <w:jc w:val="center"/>
            </w:pPr>
            <w:r>
              <w:rPr>
                <w:rFonts w:hint="eastAsia"/>
              </w:rPr>
              <w:t>0.</w:t>
            </w:r>
            <w:r>
              <w:t>288</w:t>
            </w:r>
          </w:p>
        </w:tc>
        <w:tc>
          <w:tcPr>
            <w:tcW w:w="1398" w:type="dxa"/>
            <w:noWrap w:val="0"/>
            <w:vAlign w:val="center"/>
          </w:tcPr>
          <w:p>
            <w:pPr>
              <w:pStyle w:val="17"/>
              <w:bidi w:val="0"/>
              <w:jc w:val="center"/>
            </w:pPr>
            <w:r>
              <w:rPr>
                <w:rFonts w:hint="eastAsia"/>
              </w:rPr>
              <w:t>0.</w:t>
            </w:r>
            <w:r>
              <w:t>267</w:t>
            </w:r>
          </w:p>
        </w:tc>
        <w:tc>
          <w:tcPr>
            <w:tcW w:w="1399" w:type="dxa"/>
            <w:noWrap w:val="0"/>
            <w:vAlign w:val="center"/>
          </w:tcPr>
          <w:p>
            <w:pPr>
              <w:pStyle w:val="17"/>
              <w:bidi w:val="0"/>
              <w:jc w:val="center"/>
            </w:pPr>
            <w:r>
              <w:rPr>
                <w:rFonts w:hint="eastAsia"/>
              </w:rPr>
              <w:t>0.</w:t>
            </w:r>
            <w: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天津</w:t>
            </w:r>
          </w:p>
        </w:tc>
        <w:tc>
          <w:tcPr>
            <w:tcW w:w="1398" w:type="dxa"/>
            <w:noWrap w:val="0"/>
            <w:vAlign w:val="center"/>
          </w:tcPr>
          <w:p>
            <w:pPr>
              <w:pStyle w:val="17"/>
              <w:bidi w:val="0"/>
              <w:jc w:val="center"/>
            </w:pPr>
            <w:r>
              <w:rPr>
                <w:rFonts w:hint="eastAsia"/>
              </w:rPr>
              <w:t>0.0</w:t>
            </w:r>
            <w:r>
              <w:t>66</w:t>
            </w:r>
          </w:p>
        </w:tc>
        <w:tc>
          <w:tcPr>
            <w:tcW w:w="1397" w:type="dxa"/>
            <w:noWrap w:val="0"/>
            <w:vAlign w:val="center"/>
          </w:tcPr>
          <w:p>
            <w:pPr>
              <w:pStyle w:val="17"/>
              <w:bidi w:val="0"/>
              <w:jc w:val="center"/>
            </w:pPr>
            <w:r>
              <w:rPr>
                <w:rFonts w:hint="eastAsia"/>
              </w:rPr>
              <w:t>0.</w:t>
            </w:r>
            <w:r>
              <w:t>269</w:t>
            </w:r>
          </w:p>
        </w:tc>
        <w:tc>
          <w:tcPr>
            <w:tcW w:w="1397" w:type="dxa"/>
            <w:noWrap w:val="0"/>
            <w:vAlign w:val="center"/>
          </w:tcPr>
          <w:p>
            <w:pPr>
              <w:pStyle w:val="17"/>
              <w:bidi w:val="0"/>
              <w:jc w:val="center"/>
            </w:pPr>
            <w:r>
              <w:rPr>
                <w:rFonts w:hint="eastAsia"/>
              </w:rPr>
              <w:t>0.</w:t>
            </w:r>
            <w:r>
              <w:t>246</w:t>
            </w:r>
          </w:p>
        </w:tc>
        <w:tc>
          <w:tcPr>
            <w:tcW w:w="1398" w:type="dxa"/>
            <w:noWrap w:val="0"/>
            <w:vAlign w:val="center"/>
          </w:tcPr>
          <w:p>
            <w:pPr>
              <w:pStyle w:val="17"/>
              <w:bidi w:val="0"/>
              <w:jc w:val="center"/>
            </w:pPr>
            <w:r>
              <w:rPr>
                <w:rFonts w:hint="eastAsia"/>
              </w:rPr>
              <w:t>0.</w:t>
            </w:r>
            <w:r>
              <w:t>238</w:t>
            </w:r>
          </w:p>
        </w:tc>
        <w:tc>
          <w:tcPr>
            <w:tcW w:w="1399" w:type="dxa"/>
            <w:noWrap w:val="0"/>
            <w:vAlign w:val="center"/>
          </w:tcPr>
          <w:p>
            <w:pPr>
              <w:pStyle w:val="17"/>
              <w:bidi w:val="0"/>
              <w:jc w:val="center"/>
            </w:pPr>
            <w:r>
              <w:rPr>
                <w:rFonts w:hint="eastAsia"/>
              </w:rPr>
              <w:t>0.</w:t>
            </w:r>
            <w: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上海</w:t>
            </w:r>
          </w:p>
        </w:tc>
        <w:tc>
          <w:tcPr>
            <w:tcW w:w="1398" w:type="dxa"/>
            <w:noWrap w:val="0"/>
            <w:vAlign w:val="center"/>
          </w:tcPr>
          <w:p>
            <w:pPr>
              <w:pStyle w:val="17"/>
              <w:bidi w:val="0"/>
              <w:jc w:val="center"/>
            </w:pPr>
            <w:r>
              <w:rPr>
                <w:rFonts w:hint="eastAsia"/>
              </w:rPr>
              <w:t>0.0</w:t>
            </w:r>
            <w:r>
              <w:t>84</w:t>
            </w:r>
          </w:p>
        </w:tc>
        <w:tc>
          <w:tcPr>
            <w:tcW w:w="1397" w:type="dxa"/>
            <w:noWrap w:val="0"/>
            <w:vAlign w:val="center"/>
          </w:tcPr>
          <w:p>
            <w:pPr>
              <w:pStyle w:val="17"/>
              <w:bidi w:val="0"/>
              <w:jc w:val="center"/>
            </w:pPr>
            <w:r>
              <w:rPr>
                <w:rFonts w:hint="eastAsia"/>
              </w:rPr>
              <w:t>0.</w:t>
            </w:r>
            <w:r>
              <w:t>341</w:t>
            </w:r>
          </w:p>
        </w:tc>
        <w:tc>
          <w:tcPr>
            <w:tcW w:w="1397" w:type="dxa"/>
            <w:noWrap w:val="0"/>
            <w:vAlign w:val="center"/>
          </w:tcPr>
          <w:p>
            <w:pPr>
              <w:pStyle w:val="17"/>
              <w:bidi w:val="0"/>
              <w:jc w:val="center"/>
            </w:pPr>
            <w:r>
              <w:rPr>
                <w:rFonts w:hint="eastAsia"/>
              </w:rPr>
              <w:t>0.</w:t>
            </w:r>
            <w:r>
              <w:t>288</w:t>
            </w:r>
          </w:p>
        </w:tc>
        <w:tc>
          <w:tcPr>
            <w:tcW w:w="1398" w:type="dxa"/>
            <w:noWrap w:val="0"/>
            <w:vAlign w:val="center"/>
          </w:tcPr>
          <w:p>
            <w:pPr>
              <w:pStyle w:val="17"/>
              <w:bidi w:val="0"/>
              <w:jc w:val="center"/>
            </w:pPr>
            <w:r>
              <w:rPr>
                <w:rFonts w:hint="eastAsia"/>
              </w:rPr>
              <w:t>0.</w:t>
            </w:r>
            <w:r>
              <w:t>266</w:t>
            </w:r>
          </w:p>
        </w:tc>
        <w:tc>
          <w:tcPr>
            <w:tcW w:w="1399" w:type="dxa"/>
            <w:noWrap w:val="0"/>
            <w:vAlign w:val="center"/>
          </w:tcPr>
          <w:p>
            <w:pPr>
              <w:pStyle w:val="17"/>
              <w:bidi w:val="0"/>
              <w:jc w:val="center"/>
            </w:pPr>
            <w:r>
              <w:rPr>
                <w:rFonts w:hint="eastAsia"/>
              </w:rPr>
              <w:t>0.0</w:t>
            </w:r>
            <w: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杭州</w:t>
            </w:r>
          </w:p>
        </w:tc>
        <w:tc>
          <w:tcPr>
            <w:tcW w:w="1398" w:type="dxa"/>
            <w:noWrap w:val="0"/>
            <w:vAlign w:val="center"/>
          </w:tcPr>
          <w:p>
            <w:pPr>
              <w:pStyle w:val="17"/>
              <w:bidi w:val="0"/>
              <w:jc w:val="center"/>
            </w:pPr>
            <w:r>
              <w:rPr>
                <w:rFonts w:hint="eastAsia"/>
              </w:rPr>
              <w:t>0.0</w:t>
            </w:r>
            <w:r>
              <w:t>6</w:t>
            </w:r>
          </w:p>
        </w:tc>
        <w:tc>
          <w:tcPr>
            <w:tcW w:w="1397" w:type="dxa"/>
            <w:noWrap w:val="0"/>
            <w:vAlign w:val="center"/>
          </w:tcPr>
          <w:p>
            <w:pPr>
              <w:pStyle w:val="17"/>
              <w:bidi w:val="0"/>
              <w:jc w:val="center"/>
            </w:pPr>
            <w:r>
              <w:rPr>
                <w:rFonts w:hint="eastAsia"/>
              </w:rPr>
              <w:t>0.</w:t>
            </w:r>
            <w:r>
              <w:t>373</w:t>
            </w:r>
          </w:p>
        </w:tc>
        <w:tc>
          <w:tcPr>
            <w:tcW w:w="1397" w:type="dxa"/>
            <w:noWrap w:val="0"/>
            <w:vAlign w:val="center"/>
          </w:tcPr>
          <w:p>
            <w:pPr>
              <w:pStyle w:val="17"/>
              <w:bidi w:val="0"/>
              <w:jc w:val="center"/>
            </w:pPr>
            <w:r>
              <w:rPr>
                <w:rFonts w:hint="eastAsia"/>
              </w:rPr>
              <w:t>0.</w:t>
            </w:r>
            <w:r>
              <w:t>288</w:t>
            </w:r>
          </w:p>
        </w:tc>
        <w:tc>
          <w:tcPr>
            <w:tcW w:w="1398" w:type="dxa"/>
            <w:noWrap w:val="0"/>
            <w:vAlign w:val="center"/>
          </w:tcPr>
          <w:p>
            <w:pPr>
              <w:pStyle w:val="17"/>
              <w:bidi w:val="0"/>
              <w:jc w:val="center"/>
            </w:pPr>
            <w:r>
              <w:rPr>
                <w:rFonts w:hint="eastAsia"/>
              </w:rPr>
              <w:t>0.</w:t>
            </w:r>
            <w:r>
              <w:t>266</w:t>
            </w:r>
          </w:p>
        </w:tc>
        <w:tc>
          <w:tcPr>
            <w:tcW w:w="1399" w:type="dxa"/>
            <w:noWrap w:val="0"/>
            <w:vAlign w:val="center"/>
          </w:tcPr>
          <w:p>
            <w:pPr>
              <w:pStyle w:val="17"/>
              <w:bidi w:val="0"/>
              <w:jc w:val="center"/>
            </w:pPr>
            <w:r>
              <w:rPr>
                <w:rFonts w:hint="eastAsia"/>
              </w:rPr>
              <w:t>0.0</w:t>
            </w:r>
            <w: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重庆</w:t>
            </w:r>
          </w:p>
        </w:tc>
        <w:tc>
          <w:tcPr>
            <w:tcW w:w="1398" w:type="dxa"/>
            <w:tcBorders>
              <w:bottom w:val="single" w:color="auto" w:sz="4" w:space="0"/>
            </w:tcBorders>
            <w:noWrap w:val="0"/>
            <w:vAlign w:val="center"/>
          </w:tcPr>
          <w:p>
            <w:pPr>
              <w:pStyle w:val="17"/>
              <w:bidi w:val="0"/>
              <w:jc w:val="center"/>
            </w:pPr>
            <w:r>
              <w:rPr>
                <w:rFonts w:hint="eastAsia"/>
              </w:rPr>
              <w:t>0.0</w:t>
            </w:r>
            <w:r>
              <w:t>94</w:t>
            </w:r>
          </w:p>
        </w:tc>
        <w:tc>
          <w:tcPr>
            <w:tcW w:w="1397" w:type="dxa"/>
            <w:tcBorders>
              <w:bottom w:val="single" w:color="auto" w:sz="4" w:space="0"/>
            </w:tcBorders>
            <w:noWrap w:val="0"/>
            <w:vAlign w:val="center"/>
          </w:tcPr>
          <w:p>
            <w:pPr>
              <w:pStyle w:val="17"/>
              <w:bidi w:val="0"/>
              <w:jc w:val="center"/>
            </w:pPr>
            <w:r>
              <w:rPr>
                <w:rFonts w:hint="eastAsia"/>
              </w:rPr>
              <w:t>0.</w:t>
            </w:r>
            <w:r>
              <w:t>324</w:t>
            </w:r>
          </w:p>
        </w:tc>
        <w:tc>
          <w:tcPr>
            <w:tcW w:w="1397" w:type="dxa"/>
            <w:tcBorders>
              <w:bottom w:val="single" w:color="auto" w:sz="4" w:space="0"/>
            </w:tcBorders>
            <w:noWrap w:val="0"/>
            <w:vAlign w:val="center"/>
          </w:tcPr>
          <w:p>
            <w:pPr>
              <w:pStyle w:val="17"/>
              <w:bidi w:val="0"/>
              <w:jc w:val="center"/>
            </w:pPr>
            <w:r>
              <w:rPr>
                <w:rFonts w:hint="eastAsia"/>
              </w:rPr>
              <w:t>0.</w:t>
            </w:r>
            <w:r>
              <w:t>405</w:t>
            </w:r>
          </w:p>
        </w:tc>
        <w:tc>
          <w:tcPr>
            <w:tcW w:w="1398" w:type="dxa"/>
            <w:tcBorders>
              <w:bottom w:val="single" w:color="auto" w:sz="4" w:space="0"/>
            </w:tcBorders>
            <w:noWrap w:val="0"/>
            <w:vAlign w:val="center"/>
          </w:tcPr>
          <w:p>
            <w:pPr>
              <w:pStyle w:val="17"/>
              <w:bidi w:val="0"/>
              <w:jc w:val="center"/>
            </w:pPr>
            <w:r>
              <w:rPr>
                <w:rFonts w:hint="eastAsia"/>
              </w:rPr>
              <w:t>0.</w:t>
            </w:r>
            <w:r>
              <w:t>177</w:t>
            </w:r>
          </w:p>
        </w:tc>
        <w:tc>
          <w:tcPr>
            <w:tcW w:w="1399" w:type="dxa"/>
            <w:tcBorders>
              <w:bottom w:val="single" w:color="auto" w:sz="4" w:space="0"/>
            </w:tcBorders>
            <w:noWrap w:val="0"/>
            <w:vAlign w:val="center"/>
          </w:tcPr>
          <w:p>
            <w:pPr>
              <w:pStyle w:val="17"/>
              <w:bidi w:val="0"/>
              <w:jc w:val="cente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乌兰察布</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rPr>
                <w:rFonts w:hint="eastAsia"/>
              </w:rPr>
              <w:t>0</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0.092</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0.29</w:t>
            </w:r>
            <w:r>
              <w:t>2</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0.214</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0.40</w:t>
            </w:r>
            <w: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河源</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rPr>
                <w:rFonts w:hint="eastAsia"/>
              </w:rPr>
              <w:t>0.12</w:t>
            </w:r>
            <w:r>
              <w:t>4</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0.538</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0.283</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0.055</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中卫</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rPr>
                <w:rFonts w:hint="eastAsia"/>
              </w:rPr>
              <w:t>0.02</w:t>
            </w:r>
            <w:r>
              <w:t>5</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0.202</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0.277</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0.218</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0.27</w:t>
            </w:r>
            <w: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清远</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rPr>
                <w:rFonts w:hint="eastAsia"/>
              </w:rPr>
              <w:t>0.08</w:t>
            </w:r>
            <w:r>
              <w:t>5</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0.55</w:t>
            </w:r>
            <w:r>
              <w:t>1</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0.32</w:t>
            </w:r>
            <w:r>
              <w:t>6</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0.038</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廊坊</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rPr>
                <w:rFonts w:hint="eastAsia"/>
              </w:rPr>
              <w:t>0.069</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0.275</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0.23</w:t>
            </w:r>
            <w:r>
              <w:t>9</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0.224</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rPr>
                <w:rFonts w:hint="eastAsia"/>
              </w:rPr>
              <w:t>0.193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张家口</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t>0</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0.092</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0.292</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0.214</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怀来</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t>0.047</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0.231</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0.248</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0.232</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0.242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1327" w:type="dxa"/>
            <w:noWrap w:val="0"/>
            <w:vAlign w:val="center"/>
          </w:tcPr>
          <w:p>
            <w:pPr>
              <w:pStyle w:val="17"/>
              <w:bidi w:val="0"/>
              <w:jc w:val="center"/>
            </w:pPr>
            <w:r>
              <w:rPr>
                <w:rFonts w:hint="eastAsia"/>
              </w:rPr>
              <w:t>深圳</w:t>
            </w:r>
          </w:p>
        </w:tc>
        <w:tc>
          <w:tcPr>
            <w:tcW w:w="1398" w:type="dxa"/>
            <w:tcBorders>
              <w:top w:val="single" w:color="auto" w:sz="4" w:space="0"/>
              <w:left w:val="nil"/>
              <w:bottom w:val="single" w:color="auto" w:sz="4" w:space="0"/>
              <w:right w:val="single" w:color="auto" w:sz="4" w:space="0"/>
            </w:tcBorders>
            <w:noWrap w:val="0"/>
            <w:vAlign w:val="center"/>
          </w:tcPr>
          <w:p>
            <w:pPr>
              <w:pStyle w:val="17"/>
              <w:bidi w:val="0"/>
              <w:jc w:val="center"/>
            </w:pPr>
            <w:r>
              <w:t>0.087</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0.629</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0.268</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0.016</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17"/>
              <w:bidi w:val="0"/>
              <w:jc w:val="cente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0" w:type="dxa"/>
          <w:jc w:val="center"/>
        </w:trPr>
        <w:tc>
          <w:tcPr>
            <w:tcW w:w="8316" w:type="dxa"/>
            <w:gridSpan w:val="6"/>
            <w:tcBorders>
              <w:top w:val="single" w:color="auto" w:sz="8" w:space="0"/>
              <w:bottom w:val="single" w:color="auto" w:sz="8" w:space="0"/>
            </w:tcBorders>
            <w:noWrap w:val="0"/>
            <w:vAlign w:val="center"/>
          </w:tcPr>
          <w:p>
            <w:pPr>
              <w:pStyle w:val="17"/>
              <w:bidi w:val="0"/>
              <w:jc w:val="both"/>
            </w:pPr>
            <w:r>
              <w:rPr>
                <w:rFonts w:hint="eastAsia"/>
              </w:rPr>
              <w:t>数据来源于中国气象局气象信息中心气象资料室和清华大学建筑技术科学系编著的《中国建筑热环境分析专用气象数据集》，该数据集以全国270个地面气象站从1971年到2003年共30年的实测气象数据为基础。本文件没有涵盖的城市可参照《中国建筑热环境分析专用气象数据集》中直线距离最近，且海拔差不超过300米的城市气象数据，确定该城市的温度分布系数。</w:t>
            </w:r>
          </w:p>
        </w:tc>
      </w:tr>
    </w:tbl>
    <w:p>
      <w:pPr>
        <w:pStyle w:val="17"/>
        <w:bidi w:val="0"/>
        <w:rPr>
          <w:rFonts w:hint="eastAsia"/>
          <w:lang w:val="en-US" w:eastAsia="zh-CN"/>
        </w:rPr>
      </w:pPr>
      <w:r>
        <w:rPr>
          <w:rFonts w:hint="eastAsia"/>
          <w:lang w:val="en-US" w:eastAsia="zh-CN"/>
        </w:rPr>
        <w:br w:type="page"/>
      </w:r>
    </w:p>
    <w:p>
      <w:pPr>
        <w:pStyle w:val="4"/>
        <w:bidi w:val="0"/>
        <w:jc w:val="both"/>
        <w:rPr>
          <w:rFonts w:hint="eastAsia"/>
          <w:lang w:val="en-US" w:eastAsia="zh-CN"/>
        </w:rPr>
      </w:pPr>
      <w:bookmarkStart w:id="32" w:name="_Toc29382"/>
      <w:r>
        <w:rPr>
          <w:rFonts w:hint="eastAsia"/>
          <w:lang w:val="en-US" w:eastAsia="zh-CN"/>
        </w:rPr>
        <w:t>附录B 某数据中心能效对标案例</w:t>
      </w:r>
      <w:bookmarkEnd w:id="32"/>
    </w:p>
    <w:p>
      <w:pPr>
        <w:rPr>
          <w:rFonts w:hint="eastAsia"/>
          <w:lang w:val="en-US" w:eastAsia="zh-CN"/>
        </w:rPr>
      </w:pPr>
    </w:p>
    <w:p>
      <w:pPr>
        <w:bidi w:val="0"/>
        <w:ind w:left="0" w:leftChars="0" w:firstLine="0" w:firstLineChars="0"/>
        <w:jc w:val="center"/>
        <w:outlineLvl w:val="9"/>
        <w:rPr>
          <w:rFonts w:hint="eastAsia"/>
          <w:b/>
          <w:bCs/>
          <w:sz w:val="32"/>
          <w:szCs w:val="28"/>
          <w:lang w:val="en-US" w:eastAsia="zh-CN"/>
        </w:rPr>
      </w:pPr>
      <w:r>
        <w:rPr>
          <w:rFonts w:hint="eastAsia"/>
          <w:b/>
          <w:bCs/>
          <w:sz w:val="32"/>
          <w:szCs w:val="28"/>
          <w:lang w:val="en-US" w:eastAsia="zh-CN"/>
        </w:rPr>
        <w:t>某数据中心能效对标案例</w:t>
      </w:r>
    </w:p>
    <w:p>
      <w:pPr>
        <w:rPr>
          <w:rFonts w:hint="eastAsia"/>
          <w:lang w:val="en-US" w:eastAsia="zh-CN"/>
        </w:rPr>
      </w:pPr>
      <w:r>
        <w:rPr>
          <w:rFonts w:hint="eastAsia"/>
          <w:lang w:val="en-US" w:eastAsia="zh-CN"/>
        </w:rPr>
        <w:t>对标案例是企业开展能效对标活动以来的实施方案和初步实施结果的粗略描述，仅作为各数据中心开展能效对标工作的参考。</w:t>
      </w:r>
    </w:p>
    <w:p>
      <w:pPr>
        <w:bidi w:val="0"/>
        <w:rPr>
          <w:rFonts w:hint="default"/>
          <w:b/>
          <w:bCs/>
          <w:lang w:val="en-US" w:eastAsia="zh-CN"/>
        </w:rPr>
      </w:pPr>
      <w:r>
        <w:rPr>
          <w:rFonts w:hint="eastAsia"/>
          <w:b/>
          <w:bCs/>
          <w:lang w:val="en-US" w:eastAsia="zh-CN"/>
        </w:rPr>
        <w:t>1.数据中心简介</w:t>
      </w:r>
    </w:p>
    <w:p>
      <w:pPr>
        <w:rPr>
          <w:rFonts w:hint="eastAsia"/>
          <w:lang w:val="en-US" w:eastAsia="zh-CN"/>
        </w:rPr>
      </w:pPr>
      <w:r>
        <w:rPr>
          <w:rFonts w:hint="eastAsia"/>
          <w:lang w:val="en-US" w:eastAsia="zh-CN"/>
        </w:rPr>
        <w:t>上海某数据中心于2013年建成投产，机房建筑面积约为1万平方米，机房楼共5层，其中地下1层。地下楼层设置冷水机房、发电机房、蓄水池等功能用房；地上首层设置模块机、配电室等，共建设约3000个机柜，单台机柜功率为4kw。</w:t>
      </w:r>
    </w:p>
    <w:p>
      <w:pPr>
        <w:pStyle w:val="2"/>
        <w:rPr>
          <w:rFonts w:hint="eastAsia"/>
          <w:b/>
          <w:bCs/>
          <w:lang w:val="en-US" w:eastAsia="zh-CN"/>
        </w:rPr>
      </w:pPr>
      <w:r>
        <w:rPr>
          <w:rFonts w:hint="eastAsia"/>
          <w:b/>
          <w:bCs/>
          <w:lang w:val="en-US" w:eastAsia="zh-CN"/>
        </w:rPr>
        <w:t>2.组建能效对标组织机构</w:t>
      </w:r>
    </w:p>
    <w:p>
      <w:pPr>
        <w:pStyle w:val="2"/>
        <w:rPr>
          <w:rFonts w:hint="eastAsia"/>
          <w:lang w:val="en-US" w:eastAsia="zh-CN"/>
        </w:rPr>
      </w:pPr>
      <w:r>
        <w:rPr>
          <w:rFonts w:hint="eastAsia"/>
          <w:lang w:val="en-US" w:eastAsia="zh-CN"/>
        </w:rPr>
        <w:t>为确保能效对标活动顺利开展，保证各项措施得到有效落实，该数据中心成立了能效对标活动领导小组和工作小组，明确个部门的工作职责。能效对标组织机构及职责见下表。</w:t>
      </w:r>
    </w:p>
    <w:p>
      <w:pPr>
        <w:pStyle w:val="19"/>
        <w:bidi w:val="0"/>
        <w:rPr>
          <w:rFonts w:hint="default"/>
          <w:lang w:val="en-US" w:eastAsia="zh-CN"/>
        </w:rPr>
      </w:pPr>
      <w:r>
        <w:rPr>
          <w:rFonts w:hint="eastAsia"/>
          <w:lang w:val="en-US" w:eastAsia="zh-CN"/>
        </w:rPr>
        <w:t>表B.1 数据中心能效对标组织机构及职责</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6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Align w:val="center"/>
          </w:tcPr>
          <w:p>
            <w:pPr>
              <w:pStyle w:val="17"/>
              <w:widowControl w:val="0"/>
              <w:bidi w:val="0"/>
              <w:jc w:val="center"/>
              <w:rPr>
                <w:rFonts w:hint="eastAsia"/>
                <w:b/>
                <w:bCs/>
                <w:lang w:val="en-US" w:eastAsia="zh-CN"/>
              </w:rPr>
            </w:pPr>
            <w:r>
              <w:rPr>
                <w:rFonts w:hint="eastAsia"/>
                <w:b/>
                <w:bCs/>
                <w:lang w:val="en-US" w:eastAsia="zh-CN"/>
              </w:rPr>
              <w:t>组织</w:t>
            </w:r>
          </w:p>
        </w:tc>
        <w:tc>
          <w:tcPr>
            <w:tcW w:w="6446" w:type="dxa"/>
            <w:vAlign w:val="center"/>
          </w:tcPr>
          <w:p>
            <w:pPr>
              <w:pStyle w:val="17"/>
              <w:widowControl w:val="0"/>
              <w:bidi w:val="0"/>
              <w:jc w:val="center"/>
              <w:rPr>
                <w:rFonts w:hint="eastAsia"/>
                <w:b/>
                <w:bCs/>
                <w:lang w:val="en-US" w:eastAsia="zh-CN"/>
              </w:rPr>
            </w:pPr>
            <w:r>
              <w:rPr>
                <w:rFonts w:hint="eastAsia"/>
                <w:b/>
                <w:bCs/>
                <w:lang w:val="en-US" w:eastAsia="zh-CN"/>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restart"/>
            <w:vAlign w:val="center"/>
          </w:tcPr>
          <w:p>
            <w:pPr>
              <w:pStyle w:val="17"/>
              <w:widowControl w:val="0"/>
              <w:bidi w:val="0"/>
              <w:jc w:val="center"/>
              <w:rPr>
                <w:rFonts w:hint="eastAsia"/>
                <w:lang w:val="en-US" w:eastAsia="zh-CN"/>
              </w:rPr>
            </w:pPr>
            <w:r>
              <w:rPr>
                <w:rFonts w:hint="eastAsia"/>
                <w:lang w:val="en-US" w:eastAsia="zh-CN"/>
              </w:rPr>
              <w:t>组长</w:t>
            </w:r>
          </w:p>
        </w:tc>
        <w:tc>
          <w:tcPr>
            <w:tcW w:w="6446" w:type="dxa"/>
            <w:vAlign w:val="center"/>
          </w:tcPr>
          <w:p>
            <w:pPr>
              <w:pStyle w:val="17"/>
              <w:widowControl w:val="0"/>
              <w:bidi w:val="0"/>
              <w:jc w:val="left"/>
              <w:rPr>
                <w:rFonts w:hint="eastAsia"/>
                <w:lang w:val="en-US" w:eastAsia="zh-CN"/>
              </w:rPr>
            </w:pPr>
            <w:r>
              <w:rPr>
                <w:rFonts w:hint="eastAsia"/>
                <w:lang w:val="en-US" w:eastAsia="zh-CN"/>
              </w:rPr>
              <w:t>组织制定《能效对标工作计划》，确定能效标杆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跟进能效对标工作进度，定期组织工作总结会议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指导并监督能效对标工作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restart"/>
            <w:vAlign w:val="center"/>
          </w:tcPr>
          <w:p>
            <w:pPr>
              <w:pStyle w:val="17"/>
              <w:widowControl w:val="0"/>
              <w:bidi w:val="0"/>
              <w:jc w:val="center"/>
              <w:rPr>
                <w:rFonts w:hint="eastAsia"/>
                <w:lang w:val="en-US" w:eastAsia="zh-CN"/>
              </w:rPr>
            </w:pPr>
            <w:r>
              <w:rPr>
                <w:rFonts w:hint="eastAsia"/>
                <w:lang w:val="en-US" w:eastAsia="zh-CN"/>
              </w:rPr>
              <w:t>副组长</w:t>
            </w:r>
          </w:p>
        </w:tc>
        <w:tc>
          <w:tcPr>
            <w:tcW w:w="6446" w:type="dxa"/>
            <w:vAlign w:val="center"/>
          </w:tcPr>
          <w:p>
            <w:pPr>
              <w:pStyle w:val="17"/>
              <w:widowControl w:val="0"/>
              <w:bidi w:val="0"/>
              <w:jc w:val="left"/>
              <w:rPr>
                <w:rFonts w:hint="eastAsia"/>
                <w:lang w:val="en-US" w:eastAsia="zh-CN"/>
              </w:rPr>
            </w:pPr>
            <w:r>
              <w:rPr>
                <w:rFonts w:hint="eastAsia"/>
                <w:lang w:val="en-US" w:eastAsia="zh-CN"/>
              </w:rPr>
              <w:t>听取对标工作汇报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指导对标工作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协调各部门开展对标工作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restart"/>
            <w:vAlign w:val="center"/>
          </w:tcPr>
          <w:p>
            <w:pPr>
              <w:pStyle w:val="17"/>
              <w:widowControl w:val="0"/>
              <w:bidi w:val="0"/>
              <w:jc w:val="center"/>
              <w:rPr>
                <w:rFonts w:hint="eastAsia"/>
                <w:lang w:val="en-US" w:eastAsia="zh-CN"/>
              </w:rPr>
            </w:pPr>
            <w:r>
              <w:rPr>
                <w:rFonts w:hint="eastAsia"/>
                <w:lang w:val="en-US" w:eastAsia="zh-CN"/>
              </w:rPr>
              <w:t>组员</w:t>
            </w:r>
          </w:p>
        </w:tc>
        <w:tc>
          <w:tcPr>
            <w:tcW w:w="6446" w:type="dxa"/>
            <w:vAlign w:val="center"/>
          </w:tcPr>
          <w:p>
            <w:pPr>
              <w:pStyle w:val="17"/>
              <w:widowControl w:val="0"/>
              <w:bidi w:val="0"/>
              <w:jc w:val="left"/>
              <w:rPr>
                <w:rFonts w:hint="eastAsia"/>
                <w:lang w:val="en-US" w:eastAsia="zh-CN"/>
              </w:rPr>
            </w:pPr>
            <w:r>
              <w:rPr>
                <w:rFonts w:hint="eastAsia"/>
                <w:lang w:val="en-US" w:eastAsia="zh-CN"/>
              </w:rPr>
              <w:t>制定《能效对标工作计划》，选定能效标杆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建立能效对标指标体系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编制《能效对标分析报告》和《能效改进实施方案》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收集对标资料，开展信息交换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编制《能效对标评估报告》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vAlign w:val="center"/>
          </w:tcPr>
          <w:p>
            <w:pPr>
              <w:pStyle w:val="17"/>
              <w:widowControl w:val="0"/>
              <w:bidi w:val="0"/>
              <w:jc w:val="center"/>
              <w:rPr>
                <w:rFonts w:hint="eastAsia"/>
                <w:lang w:val="en-US" w:eastAsia="zh-CN"/>
              </w:rPr>
            </w:pPr>
          </w:p>
        </w:tc>
        <w:tc>
          <w:tcPr>
            <w:tcW w:w="6446" w:type="dxa"/>
            <w:vAlign w:val="center"/>
          </w:tcPr>
          <w:p>
            <w:pPr>
              <w:pStyle w:val="17"/>
              <w:widowControl w:val="0"/>
              <w:bidi w:val="0"/>
              <w:jc w:val="left"/>
              <w:rPr>
                <w:rFonts w:hint="eastAsia"/>
                <w:lang w:val="en-US" w:eastAsia="zh-CN"/>
              </w:rPr>
            </w:pPr>
            <w:r>
              <w:rPr>
                <w:rFonts w:hint="eastAsia"/>
                <w:lang w:val="en-US" w:eastAsia="zh-CN"/>
              </w:rPr>
              <w:t>总结对标工作，提出建议。向领导汇报</w:t>
            </w:r>
          </w:p>
        </w:tc>
      </w:tr>
    </w:tbl>
    <w:p>
      <w:pPr>
        <w:pStyle w:val="2"/>
        <w:rPr>
          <w:rFonts w:hint="eastAsia"/>
          <w:b/>
          <w:bCs/>
          <w:lang w:val="en-US" w:eastAsia="zh-CN"/>
        </w:rPr>
      </w:pPr>
      <w:r>
        <w:rPr>
          <w:rFonts w:hint="eastAsia"/>
          <w:b/>
          <w:bCs/>
          <w:lang w:val="en-US" w:eastAsia="zh-CN"/>
        </w:rPr>
        <w:t>3.能效现状分析</w:t>
      </w:r>
    </w:p>
    <w:p>
      <w:pPr>
        <w:pStyle w:val="2"/>
        <w:rPr>
          <w:rFonts w:hint="eastAsia"/>
          <w:lang w:val="en-US" w:eastAsia="zh-CN"/>
        </w:rPr>
      </w:pPr>
      <w:r>
        <w:rPr>
          <w:rFonts w:hint="eastAsia"/>
          <w:lang w:val="en-US" w:eastAsia="zh-CN"/>
        </w:rPr>
        <w:t>经过对该数据中心能效现状分析并结合实际情况，领导小组决定选取R（电能比）和CLF（制冷负载因子）为本次能效对标的指标，并选择本省同行业中能效水平排名较前的数据中心作为能效标杆进行对标。</w:t>
      </w:r>
    </w:p>
    <w:p>
      <w:pPr>
        <w:pStyle w:val="2"/>
        <w:rPr>
          <w:rFonts w:hint="default"/>
          <w:b/>
          <w:bCs/>
          <w:lang w:val="en-US" w:eastAsia="zh-CN"/>
        </w:rPr>
      </w:pPr>
      <w:r>
        <w:rPr>
          <w:rFonts w:hint="eastAsia"/>
          <w:b/>
          <w:bCs/>
          <w:lang w:val="en-US" w:eastAsia="zh-CN"/>
        </w:rPr>
        <w:t>4.能效对标工作计划</w:t>
      </w:r>
    </w:p>
    <w:p>
      <w:pPr>
        <w:pStyle w:val="2"/>
        <w:rPr>
          <w:rFonts w:hint="eastAsia"/>
          <w:lang w:val="en-US" w:eastAsia="zh-CN"/>
        </w:rPr>
      </w:pPr>
      <w:r>
        <w:rPr>
          <w:rFonts w:hint="eastAsia"/>
          <w:lang w:val="en-US" w:eastAsia="zh-CN"/>
        </w:rPr>
        <w:t>为保证能效对标活动顺利实施，对标领导小组征求了各组员的对标工作建议，并结合该数据中心能效现状及能效对标潜力分析，制定了《能效对标工作计划》。具体内容见下表。</w:t>
      </w:r>
    </w:p>
    <w:p>
      <w:pPr>
        <w:pStyle w:val="19"/>
        <w:bidi w:val="0"/>
        <w:rPr>
          <w:rFonts w:hint="eastAsia"/>
          <w:lang w:val="en-US" w:eastAsia="zh-CN"/>
        </w:rPr>
      </w:pPr>
      <w:r>
        <w:rPr>
          <w:rFonts w:hint="eastAsia"/>
          <w:lang w:val="en-US" w:eastAsia="zh-CN"/>
        </w:rPr>
        <w:t>表B.2 能效对标工作计划</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909"/>
        <w:gridCol w:w="481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Align w:val="center"/>
          </w:tcPr>
          <w:p>
            <w:pPr>
              <w:pStyle w:val="17"/>
              <w:widowControl w:val="0"/>
              <w:bidi w:val="0"/>
              <w:jc w:val="center"/>
              <w:rPr>
                <w:rFonts w:hint="default"/>
                <w:b/>
                <w:bCs/>
                <w:lang w:val="en-US" w:eastAsia="zh-CN"/>
              </w:rPr>
            </w:pPr>
            <w:r>
              <w:rPr>
                <w:rFonts w:hint="eastAsia"/>
                <w:b/>
                <w:bCs/>
                <w:lang w:val="en-US" w:eastAsia="zh-CN"/>
              </w:rPr>
              <w:t>序号</w:t>
            </w:r>
          </w:p>
        </w:tc>
        <w:tc>
          <w:tcPr>
            <w:tcW w:w="909" w:type="dxa"/>
            <w:vAlign w:val="center"/>
          </w:tcPr>
          <w:p>
            <w:pPr>
              <w:pStyle w:val="17"/>
              <w:widowControl w:val="0"/>
              <w:bidi w:val="0"/>
              <w:jc w:val="center"/>
              <w:rPr>
                <w:rFonts w:hint="default"/>
                <w:b/>
                <w:bCs/>
                <w:lang w:val="en-US" w:eastAsia="zh-CN"/>
              </w:rPr>
            </w:pPr>
            <w:r>
              <w:rPr>
                <w:rFonts w:hint="eastAsia"/>
                <w:b/>
                <w:bCs/>
                <w:lang w:val="en-US" w:eastAsia="zh-CN"/>
              </w:rPr>
              <w:t>阶段</w:t>
            </w:r>
          </w:p>
        </w:tc>
        <w:tc>
          <w:tcPr>
            <w:tcW w:w="4810" w:type="dxa"/>
            <w:vAlign w:val="center"/>
          </w:tcPr>
          <w:p>
            <w:pPr>
              <w:pStyle w:val="17"/>
              <w:widowControl w:val="0"/>
              <w:bidi w:val="0"/>
              <w:jc w:val="center"/>
              <w:rPr>
                <w:rFonts w:hint="default"/>
                <w:b/>
                <w:bCs/>
                <w:lang w:val="en-US" w:eastAsia="zh-CN"/>
              </w:rPr>
            </w:pPr>
            <w:r>
              <w:rPr>
                <w:rFonts w:hint="eastAsia"/>
                <w:b/>
                <w:bCs/>
                <w:lang w:val="en-US" w:eastAsia="zh-CN"/>
              </w:rPr>
              <w:t>工作安排</w:t>
            </w:r>
          </w:p>
        </w:tc>
        <w:tc>
          <w:tcPr>
            <w:tcW w:w="2150" w:type="dxa"/>
            <w:vAlign w:val="center"/>
          </w:tcPr>
          <w:p>
            <w:pPr>
              <w:pStyle w:val="17"/>
              <w:widowControl w:val="0"/>
              <w:bidi w:val="0"/>
              <w:jc w:val="center"/>
              <w:rPr>
                <w:rFonts w:hint="eastAsia"/>
                <w:b/>
                <w:bCs/>
                <w:lang w:val="en-US" w:eastAsia="zh-CN"/>
              </w:rPr>
            </w:pPr>
            <w:r>
              <w:rPr>
                <w:rFonts w:hint="eastAsia"/>
                <w:b/>
                <w:bCs/>
                <w:lang w:val="en-US" w:eastAsia="zh-CN"/>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restart"/>
            <w:vAlign w:val="center"/>
          </w:tcPr>
          <w:p>
            <w:pPr>
              <w:pStyle w:val="17"/>
              <w:widowControl w:val="0"/>
              <w:bidi w:val="0"/>
              <w:jc w:val="center"/>
              <w:rPr>
                <w:rFonts w:hint="default"/>
                <w:lang w:val="en-US" w:eastAsia="zh-CN"/>
              </w:rPr>
            </w:pPr>
            <w:r>
              <w:rPr>
                <w:rFonts w:hint="eastAsia"/>
                <w:lang w:val="en-US" w:eastAsia="zh-CN"/>
              </w:rPr>
              <w:t>1</w:t>
            </w:r>
          </w:p>
        </w:tc>
        <w:tc>
          <w:tcPr>
            <w:tcW w:w="909" w:type="dxa"/>
            <w:vMerge w:val="restart"/>
            <w:vAlign w:val="center"/>
          </w:tcPr>
          <w:p>
            <w:pPr>
              <w:pStyle w:val="17"/>
              <w:widowControl w:val="0"/>
              <w:bidi w:val="0"/>
              <w:jc w:val="center"/>
              <w:rPr>
                <w:rFonts w:hint="default"/>
                <w:lang w:val="en-US" w:eastAsia="zh-CN"/>
              </w:rPr>
            </w:pPr>
            <w:r>
              <w:rPr>
                <w:rFonts w:hint="eastAsia"/>
                <w:lang w:val="en-US" w:eastAsia="zh-CN"/>
              </w:rPr>
              <w:t>组织准备</w:t>
            </w:r>
          </w:p>
        </w:tc>
        <w:tc>
          <w:tcPr>
            <w:tcW w:w="4810" w:type="dxa"/>
            <w:vAlign w:val="center"/>
          </w:tcPr>
          <w:p>
            <w:pPr>
              <w:pStyle w:val="17"/>
              <w:widowControl w:val="0"/>
              <w:bidi w:val="0"/>
              <w:jc w:val="left"/>
              <w:rPr>
                <w:rFonts w:hint="default"/>
                <w:lang w:val="en-US" w:eastAsia="zh-CN"/>
              </w:rPr>
            </w:pPr>
            <w:r>
              <w:rPr>
                <w:rFonts w:hint="eastAsia"/>
                <w:lang w:val="en-US" w:eastAsia="zh-CN"/>
              </w:rPr>
              <w:t>组建能效对标组织机构</w:t>
            </w:r>
          </w:p>
        </w:tc>
        <w:tc>
          <w:tcPr>
            <w:tcW w:w="2150" w:type="dxa"/>
            <w:vMerge w:val="restart"/>
            <w:vAlign w:val="center"/>
          </w:tcPr>
          <w:p>
            <w:pPr>
              <w:pStyle w:val="17"/>
              <w:widowControl w:val="0"/>
              <w:bidi w:val="0"/>
              <w:jc w:val="center"/>
              <w:rPr>
                <w:rFonts w:hint="default"/>
                <w:lang w:val="en-US" w:eastAsia="zh-CN"/>
              </w:rPr>
            </w:pPr>
            <w:r>
              <w:rPr>
                <w:rFonts w:hint="eastAsia"/>
                <w:lang w:val="en-US" w:eastAsia="zh-CN"/>
              </w:rPr>
              <w:t>2020年1月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default"/>
                <w:lang w:val="en-US" w:eastAsia="zh-CN"/>
              </w:rPr>
            </w:pPr>
          </w:p>
        </w:tc>
        <w:tc>
          <w:tcPr>
            <w:tcW w:w="4810" w:type="dxa"/>
            <w:vAlign w:val="center"/>
          </w:tcPr>
          <w:p>
            <w:pPr>
              <w:pStyle w:val="17"/>
              <w:widowControl w:val="0"/>
              <w:bidi w:val="0"/>
              <w:jc w:val="left"/>
              <w:rPr>
                <w:rFonts w:hint="default"/>
                <w:lang w:val="en-US" w:eastAsia="zh-CN"/>
              </w:rPr>
            </w:pPr>
            <w:r>
              <w:rPr>
                <w:rFonts w:hint="eastAsia"/>
                <w:lang w:val="en-US" w:eastAsia="zh-CN"/>
              </w:rPr>
              <w:t>制定《能效对标工作计划》，部署对标工作</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restart"/>
            <w:vAlign w:val="center"/>
          </w:tcPr>
          <w:p>
            <w:pPr>
              <w:pStyle w:val="17"/>
              <w:widowControl w:val="0"/>
              <w:bidi w:val="0"/>
              <w:jc w:val="center"/>
              <w:rPr>
                <w:rFonts w:hint="default"/>
                <w:lang w:val="en-US" w:eastAsia="zh-CN"/>
              </w:rPr>
            </w:pPr>
            <w:r>
              <w:rPr>
                <w:rFonts w:hint="eastAsia"/>
                <w:lang w:val="en-US" w:eastAsia="zh-CN"/>
              </w:rPr>
              <w:t>2</w:t>
            </w:r>
          </w:p>
        </w:tc>
        <w:tc>
          <w:tcPr>
            <w:tcW w:w="909" w:type="dxa"/>
            <w:vMerge w:val="restart"/>
            <w:vAlign w:val="center"/>
          </w:tcPr>
          <w:p>
            <w:pPr>
              <w:pStyle w:val="17"/>
              <w:widowControl w:val="0"/>
              <w:bidi w:val="0"/>
              <w:jc w:val="center"/>
              <w:rPr>
                <w:rFonts w:hint="default"/>
                <w:lang w:val="en-US" w:eastAsia="zh-CN"/>
              </w:rPr>
            </w:pPr>
            <w:r>
              <w:rPr>
                <w:rFonts w:hint="eastAsia"/>
                <w:lang w:val="en-US" w:eastAsia="zh-CN"/>
              </w:rPr>
              <w:t>现状分析阶段</w:t>
            </w:r>
          </w:p>
        </w:tc>
        <w:tc>
          <w:tcPr>
            <w:tcW w:w="4810" w:type="dxa"/>
            <w:vAlign w:val="center"/>
          </w:tcPr>
          <w:p>
            <w:pPr>
              <w:pStyle w:val="17"/>
              <w:widowControl w:val="0"/>
              <w:bidi w:val="0"/>
              <w:jc w:val="left"/>
              <w:rPr>
                <w:rFonts w:hint="default"/>
                <w:lang w:val="en-US" w:eastAsia="zh-CN"/>
              </w:rPr>
            </w:pPr>
            <w:r>
              <w:rPr>
                <w:rFonts w:hint="eastAsia"/>
                <w:lang w:val="en-US" w:eastAsia="zh-CN"/>
              </w:rPr>
              <w:t>检查设备运行现状</w:t>
            </w:r>
          </w:p>
        </w:tc>
        <w:tc>
          <w:tcPr>
            <w:tcW w:w="2150" w:type="dxa"/>
            <w:vMerge w:val="restart"/>
            <w:vAlign w:val="center"/>
          </w:tcPr>
          <w:p>
            <w:pPr>
              <w:pStyle w:val="17"/>
              <w:widowControl w:val="0"/>
              <w:bidi w:val="0"/>
              <w:jc w:val="center"/>
              <w:rPr>
                <w:rFonts w:hint="default"/>
                <w:lang w:val="en-US" w:eastAsia="zh-CN"/>
              </w:rPr>
            </w:pPr>
            <w:r>
              <w:rPr>
                <w:rFonts w:hint="eastAsia"/>
                <w:lang w:val="en-US" w:eastAsia="zh-CN"/>
              </w:rPr>
              <w:t>2020年2月1日~2月10日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default"/>
                <w:lang w:val="en-US" w:eastAsia="zh-CN"/>
              </w:rPr>
            </w:pPr>
          </w:p>
        </w:tc>
        <w:tc>
          <w:tcPr>
            <w:tcW w:w="4810" w:type="dxa"/>
            <w:vAlign w:val="center"/>
          </w:tcPr>
          <w:p>
            <w:pPr>
              <w:pStyle w:val="17"/>
              <w:widowControl w:val="0"/>
              <w:bidi w:val="0"/>
              <w:jc w:val="left"/>
              <w:rPr>
                <w:rFonts w:hint="default"/>
                <w:lang w:val="en-US" w:eastAsia="zh-CN"/>
              </w:rPr>
            </w:pPr>
            <w:r>
              <w:rPr>
                <w:rFonts w:hint="eastAsia"/>
                <w:lang w:val="en-US" w:eastAsia="zh-CN"/>
              </w:rPr>
              <w:t>收集历史数据，开展现状分析</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restart"/>
            <w:vAlign w:val="center"/>
          </w:tcPr>
          <w:p>
            <w:pPr>
              <w:pStyle w:val="17"/>
              <w:widowControl w:val="0"/>
              <w:bidi w:val="0"/>
              <w:jc w:val="center"/>
              <w:rPr>
                <w:rFonts w:hint="default"/>
                <w:lang w:val="en-US" w:eastAsia="zh-CN"/>
              </w:rPr>
            </w:pPr>
            <w:r>
              <w:rPr>
                <w:rFonts w:hint="eastAsia"/>
                <w:lang w:val="en-US" w:eastAsia="zh-CN"/>
              </w:rPr>
              <w:t>3</w:t>
            </w:r>
          </w:p>
        </w:tc>
        <w:tc>
          <w:tcPr>
            <w:tcW w:w="909" w:type="dxa"/>
            <w:vMerge w:val="restart"/>
            <w:vAlign w:val="center"/>
          </w:tcPr>
          <w:p>
            <w:pPr>
              <w:pStyle w:val="17"/>
              <w:widowControl w:val="0"/>
              <w:bidi w:val="0"/>
              <w:jc w:val="center"/>
              <w:rPr>
                <w:rFonts w:hint="default"/>
                <w:lang w:val="en-US" w:eastAsia="zh-CN"/>
              </w:rPr>
            </w:pPr>
            <w:r>
              <w:rPr>
                <w:rFonts w:hint="eastAsia"/>
                <w:lang w:val="en-US" w:eastAsia="zh-CN"/>
              </w:rPr>
              <w:t>建立标杆阶段</w:t>
            </w:r>
          </w:p>
        </w:tc>
        <w:tc>
          <w:tcPr>
            <w:tcW w:w="4810" w:type="dxa"/>
            <w:vAlign w:val="center"/>
          </w:tcPr>
          <w:p>
            <w:pPr>
              <w:pStyle w:val="17"/>
              <w:widowControl w:val="0"/>
              <w:bidi w:val="0"/>
              <w:jc w:val="left"/>
              <w:rPr>
                <w:rFonts w:hint="default"/>
                <w:lang w:val="en-US" w:eastAsia="zh-CN"/>
              </w:rPr>
            </w:pPr>
            <w:r>
              <w:rPr>
                <w:rFonts w:hint="eastAsia"/>
                <w:lang w:val="en-US" w:eastAsia="zh-CN"/>
              </w:rPr>
              <w:t>建立能效指标数据库</w:t>
            </w:r>
          </w:p>
        </w:tc>
        <w:tc>
          <w:tcPr>
            <w:tcW w:w="2150" w:type="dxa"/>
            <w:vMerge w:val="restart"/>
            <w:vAlign w:val="center"/>
          </w:tcPr>
          <w:p>
            <w:pPr>
              <w:pStyle w:val="17"/>
              <w:widowControl w:val="0"/>
              <w:bidi w:val="0"/>
              <w:jc w:val="center"/>
              <w:rPr>
                <w:rFonts w:hint="default"/>
                <w:lang w:val="en-US" w:eastAsia="zh-CN"/>
              </w:rPr>
            </w:pPr>
            <w:r>
              <w:rPr>
                <w:rFonts w:hint="eastAsia"/>
                <w:lang w:val="en-US" w:eastAsia="zh-CN"/>
              </w:rPr>
              <w:t>2020年2月11日~2月20日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default"/>
                <w:lang w:val="en-US" w:eastAsia="zh-CN"/>
              </w:rPr>
            </w:pPr>
          </w:p>
        </w:tc>
        <w:tc>
          <w:tcPr>
            <w:tcW w:w="4810" w:type="dxa"/>
            <w:vAlign w:val="center"/>
          </w:tcPr>
          <w:p>
            <w:pPr>
              <w:pStyle w:val="17"/>
              <w:widowControl w:val="0"/>
              <w:bidi w:val="0"/>
              <w:jc w:val="left"/>
              <w:rPr>
                <w:rFonts w:hint="default"/>
                <w:lang w:val="en-US" w:eastAsia="zh-CN"/>
              </w:rPr>
            </w:pPr>
            <w:r>
              <w:rPr>
                <w:rFonts w:hint="eastAsia"/>
                <w:lang w:val="en-US" w:eastAsia="zh-CN"/>
              </w:rPr>
              <w:t>收集国内外数据中心行业先进技术及应用实例，建立最佳实践数据库</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default"/>
                <w:lang w:val="en-US" w:eastAsia="zh-CN"/>
              </w:rPr>
            </w:pPr>
          </w:p>
        </w:tc>
        <w:tc>
          <w:tcPr>
            <w:tcW w:w="4810" w:type="dxa"/>
            <w:vAlign w:val="center"/>
          </w:tcPr>
          <w:p>
            <w:pPr>
              <w:pStyle w:val="17"/>
              <w:widowControl w:val="0"/>
              <w:bidi w:val="0"/>
              <w:jc w:val="left"/>
              <w:rPr>
                <w:rFonts w:hint="default"/>
                <w:lang w:val="en-US" w:eastAsia="zh-CN"/>
              </w:rPr>
            </w:pPr>
            <w:r>
              <w:rPr>
                <w:rFonts w:hint="eastAsia"/>
                <w:lang w:val="en-US" w:eastAsia="zh-CN"/>
              </w:rPr>
              <w:t>建立能效对标指标体系</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restart"/>
            <w:vAlign w:val="center"/>
          </w:tcPr>
          <w:p>
            <w:pPr>
              <w:pStyle w:val="17"/>
              <w:widowControl w:val="0"/>
              <w:bidi w:val="0"/>
              <w:jc w:val="center"/>
              <w:rPr>
                <w:rFonts w:hint="default"/>
                <w:lang w:val="en-US" w:eastAsia="zh-CN"/>
              </w:rPr>
            </w:pPr>
            <w:r>
              <w:rPr>
                <w:rFonts w:hint="eastAsia"/>
                <w:lang w:val="en-US" w:eastAsia="zh-CN"/>
              </w:rPr>
              <w:t>4</w:t>
            </w:r>
          </w:p>
        </w:tc>
        <w:tc>
          <w:tcPr>
            <w:tcW w:w="909" w:type="dxa"/>
            <w:vMerge w:val="restart"/>
            <w:vAlign w:val="center"/>
          </w:tcPr>
          <w:p>
            <w:pPr>
              <w:pStyle w:val="17"/>
              <w:widowControl w:val="0"/>
              <w:bidi w:val="0"/>
              <w:jc w:val="center"/>
              <w:rPr>
                <w:rFonts w:hint="default"/>
                <w:lang w:val="en-US" w:eastAsia="zh-CN"/>
              </w:rPr>
            </w:pPr>
            <w:r>
              <w:rPr>
                <w:rFonts w:hint="eastAsia"/>
                <w:lang w:val="en-US" w:eastAsia="zh-CN"/>
              </w:rPr>
              <w:t>指标对比阶段</w:t>
            </w:r>
          </w:p>
        </w:tc>
        <w:tc>
          <w:tcPr>
            <w:tcW w:w="4810" w:type="dxa"/>
            <w:vAlign w:val="center"/>
          </w:tcPr>
          <w:p>
            <w:pPr>
              <w:pStyle w:val="17"/>
              <w:widowControl w:val="0"/>
              <w:bidi w:val="0"/>
              <w:jc w:val="left"/>
              <w:rPr>
                <w:rFonts w:hint="eastAsia"/>
                <w:lang w:val="en-US" w:eastAsia="zh-CN"/>
              </w:rPr>
            </w:pPr>
            <w:r>
              <w:rPr>
                <w:rFonts w:hint="eastAsia"/>
                <w:lang w:val="en-US" w:eastAsia="zh-CN"/>
              </w:rPr>
              <w:t>开展与能效标杆的对比分析，编制《能效改进实施方案》</w:t>
            </w:r>
          </w:p>
        </w:tc>
        <w:tc>
          <w:tcPr>
            <w:tcW w:w="2150" w:type="dxa"/>
            <w:vMerge w:val="restart"/>
            <w:vAlign w:val="center"/>
          </w:tcPr>
          <w:p>
            <w:pPr>
              <w:pStyle w:val="17"/>
              <w:widowControl w:val="0"/>
              <w:bidi w:val="0"/>
              <w:jc w:val="center"/>
              <w:rPr>
                <w:rFonts w:hint="default"/>
                <w:lang w:val="en-US" w:eastAsia="zh-CN"/>
              </w:rPr>
            </w:pPr>
            <w:r>
              <w:rPr>
                <w:rFonts w:hint="eastAsia"/>
                <w:lang w:val="en-US" w:eastAsia="zh-CN"/>
              </w:rPr>
              <w:t>2020年2月21日~2月28日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eastAsia"/>
                <w:lang w:val="en-US" w:eastAsia="zh-CN"/>
              </w:rPr>
            </w:pPr>
          </w:p>
        </w:tc>
        <w:tc>
          <w:tcPr>
            <w:tcW w:w="4810" w:type="dxa"/>
            <w:vAlign w:val="center"/>
          </w:tcPr>
          <w:p>
            <w:pPr>
              <w:pStyle w:val="17"/>
              <w:widowControl w:val="0"/>
              <w:bidi w:val="0"/>
              <w:jc w:val="left"/>
              <w:rPr>
                <w:rFonts w:hint="eastAsia"/>
                <w:lang w:val="en-US" w:eastAsia="zh-CN"/>
              </w:rPr>
            </w:pPr>
            <w:r>
              <w:rPr>
                <w:rFonts w:hint="eastAsia"/>
                <w:lang w:val="en-US" w:eastAsia="zh-CN"/>
              </w:rPr>
              <w:t>开展能耗影响因素分析</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eastAsia"/>
                <w:lang w:val="en-US" w:eastAsia="zh-CN"/>
              </w:rPr>
            </w:pPr>
          </w:p>
        </w:tc>
        <w:tc>
          <w:tcPr>
            <w:tcW w:w="4810" w:type="dxa"/>
            <w:vAlign w:val="center"/>
          </w:tcPr>
          <w:p>
            <w:pPr>
              <w:pStyle w:val="17"/>
              <w:widowControl w:val="0"/>
              <w:bidi w:val="0"/>
              <w:jc w:val="left"/>
              <w:rPr>
                <w:rFonts w:hint="default"/>
                <w:lang w:val="en-US" w:eastAsia="zh-CN"/>
              </w:rPr>
            </w:pPr>
            <w:r>
              <w:rPr>
                <w:rFonts w:hint="eastAsia"/>
                <w:lang w:val="en-US" w:eastAsia="zh-CN"/>
              </w:rPr>
              <w:t>提出整改措施及建议，编制《能效改进实施方案》</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restart"/>
            <w:vAlign w:val="center"/>
          </w:tcPr>
          <w:p>
            <w:pPr>
              <w:pStyle w:val="17"/>
              <w:widowControl w:val="0"/>
              <w:bidi w:val="0"/>
              <w:jc w:val="center"/>
              <w:rPr>
                <w:rFonts w:hint="default"/>
                <w:lang w:val="en-US" w:eastAsia="zh-CN"/>
              </w:rPr>
            </w:pPr>
            <w:r>
              <w:rPr>
                <w:rFonts w:hint="eastAsia"/>
                <w:lang w:val="en-US" w:eastAsia="zh-CN"/>
              </w:rPr>
              <w:t>5</w:t>
            </w:r>
          </w:p>
        </w:tc>
        <w:tc>
          <w:tcPr>
            <w:tcW w:w="909" w:type="dxa"/>
            <w:vMerge w:val="restart"/>
            <w:vAlign w:val="center"/>
          </w:tcPr>
          <w:p>
            <w:pPr>
              <w:pStyle w:val="17"/>
              <w:widowControl w:val="0"/>
              <w:bidi w:val="0"/>
              <w:jc w:val="center"/>
              <w:rPr>
                <w:rFonts w:hint="eastAsia"/>
                <w:lang w:val="en-US" w:eastAsia="zh-CN"/>
              </w:rPr>
            </w:pPr>
            <w:r>
              <w:rPr>
                <w:rFonts w:hint="eastAsia"/>
                <w:lang w:val="en-US" w:eastAsia="zh-CN"/>
              </w:rPr>
              <w:t>能效改进实践阶段</w:t>
            </w:r>
          </w:p>
        </w:tc>
        <w:tc>
          <w:tcPr>
            <w:tcW w:w="4810" w:type="dxa"/>
            <w:vAlign w:val="center"/>
          </w:tcPr>
          <w:p>
            <w:pPr>
              <w:pStyle w:val="17"/>
              <w:widowControl w:val="0"/>
              <w:bidi w:val="0"/>
              <w:jc w:val="left"/>
              <w:rPr>
                <w:rFonts w:hint="eastAsia"/>
                <w:lang w:val="en-US" w:eastAsia="zh-CN"/>
              </w:rPr>
            </w:pPr>
            <w:r>
              <w:rPr>
                <w:rFonts w:hint="eastAsia"/>
                <w:lang w:val="en-US" w:eastAsia="zh-CN"/>
              </w:rPr>
              <w:t>将能效改进目标及措施分解落实到责任部门和对指定的负责人</w:t>
            </w:r>
          </w:p>
        </w:tc>
        <w:tc>
          <w:tcPr>
            <w:tcW w:w="2150" w:type="dxa"/>
            <w:vMerge w:val="restart"/>
            <w:vAlign w:val="center"/>
          </w:tcPr>
          <w:p>
            <w:pPr>
              <w:pStyle w:val="17"/>
              <w:widowControl w:val="0"/>
              <w:bidi w:val="0"/>
              <w:jc w:val="center"/>
              <w:rPr>
                <w:rFonts w:hint="default"/>
                <w:lang w:val="en-US" w:eastAsia="zh-CN"/>
              </w:rPr>
            </w:pPr>
            <w:r>
              <w:rPr>
                <w:rFonts w:hint="eastAsia"/>
                <w:lang w:val="en-US" w:eastAsia="zh-CN"/>
              </w:rPr>
              <w:t>2020年3月~10月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eastAsia"/>
                <w:lang w:val="en-US" w:eastAsia="zh-CN"/>
              </w:rPr>
            </w:pPr>
          </w:p>
        </w:tc>
        <w:tc>
          <w:tcPr>
            <w:tcW w:w="4810" w:type="dxa"/>
            <w:vAlign w:val="center"/>
          </w:tcPr>
          <w:p>
            <w:pPr>
              <w:pStyle w:val="17"/>
              <w:widowControl w:val="0"/>
              <w:bidi w:val="0"/>
              <w:jc w:val="left"/>
              <w:rPr>
                <w:rFonts w:hint="eastAsia"/>
                <w:lang w:val="en-US" w:eastAsia="zh-CN"/>
              </w:rPr>
            </w:pPr>
            <w:r>
              <w:rPr>
                <w:rFonts w:hint="eastAsia"/>
                <w:lang w:val="en-US" w:eastAsia="zh-CN"/>
              </w:rPr>
              <w:t>全面落实《能效改进实施方案》中各项节能改造措施及要求</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restart"/>
            <w:vAlign w:val="center"/>
          </w:tcPr>
          <w:p>
            <w:pPr>
              <w:pStyle w:val="17"/>
              <w:widowControl w:val="0"/>
              <w:bidi w:val="0"/>
              <w:jc w:val="center"/>
              <w:rPr>
                <w:rFonts w:hint="default"/>
                <w:lang w:val="en-US" w:eastAsia="zh-CN"/>
              </w:rPr>
            </w:pPr>
            <w:r>
              <w:rPr>
                <w:rFonts w:hint="eastAsia"/>
                <w:lang w:val="en-US" w:eastAsia="zh-CN"/>
              </w:rPr>
              <w:t>6</w:t>
            </w:r>
          </w:p>
        </w:tc>
        <w:tc>
          <w:tcPr>
            <w:tcW w:w="909" w:type="dxa"/>
            <w:vMerge w:val="restart"/>
            <w:vAlign w:val="center"/>
          </w:tcPr>
          <w:p>
            <w:pPr>
              <w:pStyle w:val="17"/>
              <w:widowControl w:val="0"/>
              <w:bidi w:val="0"/>
              <w:jc w:val="center"/>
              <w:rPr>
                <w:rFonts w:hint="eastAsia"/>
                <w:lang w:val="en-US" w:eastAsia="zh-CN"/>
              </w:rPr>
            </w:pPr>
            <w:r>
              <w:rPr>
                <w:rFonts w:hint="eastAsia"/>
                <w:lang w:val="en-US" w:eastAsia="zh-CN"/>
              </w:rPr>
              <w:t>对标活动评估阶段</w:t>
            </w:r>
          </w:p>
        </w:tc>
        <w:tc>
          <w:tcPr>
            <w:tcW w:w="4810" w:type="dxa"/>
            <w:vAlign w:val="center"/>
          </w:tcPr>
          <w:p>
            <w:pPr>
              <w:pStyle w:val="17"/>
              <w:widowControl w:val="0"/>
              <w:bidi w:val="0"/>
              <w:jc w:val="left"/>
              <w:rPr>
                <w:rFonts w:hint="eastAsia"/>
                <w:lang w:val="en-US" w:eastAsia="zh-CN"/>
              </w:rPr>
            </w:pPr>
            <w:r>
              <w:rPr>
                <w:rFonts w:hint="eastAsia"/>
                <w:lang w:val="en-US" w:eastAsia="zh-CN"/>
              </w:rPr>
              <w:t>对能效对标活动进行阶段性总结</w:t>
            </w:r>
          </w:p>
        </w:tc>
        <w:tc>
          <w:tcPr>
            <w:tcW w:w="2150" w:type="dxa"/>
            <w:vMerge w:val="restart"/>
            <w:vAlign w:val="center"/>
          </w:tcPr>
          <w:p>
            <w:pPr>
              <w:pStyle w:val="17"/>
              <w:widowControl w:val="0"/>
              <w:bidi w:val="0"/>
              <w:jc w:val="center"/>
              <w:rPr>
                <w:rFonts w:hint="default"/>
                <w:lang w:val="en-US" w:eastAsia="zh-CN"/>
              </w:rPr>
            </w:pPr>
            <w:r>
              <w:rPr>
                <w:rFonts w:hint="eastAsia"/>
                <w:lang w:val="en-US" w:eastAsia="zh-CN"/>
              </w:rPr>
              <w:t>2020年11月1日~11月10日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Merge w:val="continue"/>
            <w:vAlign w:val="center"/>
          </w:tcPr>
          <w:p>
            <w:pPr>
              <w:pStyle w:val="17"/>
              <w:widowControl w:val="0"/>
              <w:bidi w:val="0"/>
              <w:jc w:val="center"/>
              <w:rPr>
                <w:rFonts w:hint="default"/>
                <w:lang w:val="en-US" w:eastAsia="zh-CN"/>
              </w:rPr>
            </w:pPr>
          </w:p>
        </w:tc>
        <w:tc>
          <w:tcPr>
            <w:tcW w:w="909" w:type="dxa"/>
            <w:vMerge w:val="continue"/>
            <w:vAlign w:val="center"/>
          </w:tcPr>
          <w:p>
            <w:pPr>
              <w:pStyle w:val="17"/>
              <w:widowControl w:val="0"/>
              <w:bidi w:val="0"/>
              <w:jc w:val="center"/>
              <w:rPr>
                <w:rFonts w:hint="eastAsia"/>
                <w:lang w:val="en-US" w:eastAsia="zh-CN"/>
              </w:rPr>
            </w:pPr>
          </w:p>
        </w:tc>
        <w:tc>
          <w:tcPr>
            <w:tcW w:w="4810" w:type="dxa"/>
            <w:vAlign w:val="center"/>
          </w:tcPr>
          <w:p>
            <w:pPr>
              <w:pStyle w:val="17"/>
              <w:widowControl w:val="0"/>
              <w:bidi w:val="0"/>
              <w:jc w:val="left"/>
              <w:rPr>
                <w:rFonts w:hint="eastAsia"/>
                <w:lang w:val="en-US" w:eastAsia="zh-CN"/>
              </w:rPr>
            </w:pPr>
            <w:r>
              <w:rPr>
                <w:rFonts w:hint="eastAsia"/>
                <w:lang w:val="en-US" w:eastAsia="zh-CN"/>
              </w:rPr>
              <w:t>编制《能效对标评估报告》</w:t>
            </w:r>
          </w:p>
        </w:tc>
        <w:tc>
          <w:tcPr>
            <w:tcW w:w="2150" w:type="dxa"/>
            <w:vMerge w:val="continue"/>
            <w:vAlign w:val="center"/>
          </w:tcPr>
          <w:p>
            <w:pPr>
              <w:pStyle w:val="17"/>
              <w:widowControl w:val="0"/>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vAlign w:val="center"/>
          </w:tcPr>
          <w:p>
            <w:pPr>
              <w:pStyle w:val="17"/>
              <w:widowControl w:val="0"/>
              <w:bidi w:val="0"/>
              <w:jc w:val="center"/>
              <w:rPr>
                <w:rFonts w:hint="default"/>
                <w:lang w:val="en-US" w:eastAsia="zh-CN"/>
              </w:rPr>
            </w:pPr>
            <w:r>
              <w:rPr>
                <w:rFonts w:hint="eastAsia"/>
                <w:lang w:val="en-US" w:eastAsia="zh-CN"/>
              </w:rPr>
              <w:t>7</w:t>
            </w:r>
          </w:p>
        </w:tc>
        <w:tc>
          <w:tcPr>
            <w:tcW w:w="909" w:type="dxa"/>
            <w:vAlign w:val="center"/>
          </w:tcPr>
          <w:p>
            <w:pPr>
              <w:pStyle w:val="17"/>
              <w:widowControl w:val="0"/>
              <w:bidi w:val="0"/>
              <w:jc w:val="center"/>
              <w:rPr>
                <w:rFonts w:hint="eastAsia"/>
                <w:lang w:val="en-US" w:eastAsia="zh-CN"/>
              </w:rPr>
            </w:pPr>
            <w:r>
              <w:rPr>
                <w:rFonts w:hint="eastAsia"/>
                <w:lang w:val="en-US" w:eastAsia="zh-CN"/>
              </w:rPr>
              <w:t>持续改进阶段</w:t>
            </w:r>
          </w:p>
        </w:tc>
        <w:tc>
          <w:tcPr>
            <w:tcW w:w="4810" w:type="dxa"/>
            <w:vAlign w:val="center"/>
          </w:tcPr>
          <w:p>
            <w:pPr>
              <w:pStyle w:val="17"/>
              <w:widowControl w:val="0"/>
              <w:bidi w:val="0"/>
              <w:jc w:val="left"/>
              <w:rPr>
                <w:rFonts w:hint="eastAsia"/>
                <w:lang w:val="en-US" w:eastAsia="zh-CN"/>
              </w:rPr>
            </w:pPr>
            <w:r>
              <w:rPr>
                <w:rFonts w:hint="eastAsia"/>
                <w:lang w:val="en-US" w:eastAsia="zh-CN"/>
              </w:rPr>
              <w:t>总结经验，制定下一阶段《能效对标工作计划》</w:t>
            </w:r>
          </w:p>
        </w:tc>
        <w:tc>
          <w:tcPr>
            <w:tcW w:w="2150" w:type="dxa"/>
            <w:vAlign w:val="center"/>
          </w:tcPr>
          <w:p>
            <w:pPr>
              <w:pStyle w:val="17"/>
              <w:widowControl w:val="0"/>
              <w:bidi w:val="0"/>
              <w:jc w:val="center"/>
              <w:rPr>
                <w:rFonts w:hint="default"/>
                <w:lang w:val="en-US" w:eastAsia="zh-CN"/>
              </w:rPr>
            </w:pPr>
            <w:r>
              <w:rPr>
                <w:rFonts w:hint="eastAsia"/>
                <w:lang w:val="en-US" w:eastAsia="zh-CN"/>
              </w:rPr>
              <w:t>2020年11月11日~20日</w:t>
            </w:r>
          </w:p>
        </w:tc>
      </w:tr>
    </w:tbl>
    <w:p>
      <w:pPr>
        <w:bidi w:val="0"/>
        <w:rPr>
          <w:rFonts w:hint="default"/>
          <w:b/>
          <w:bCs/>
          <w:lang w:val="en-US" w:eastAsia="zh-CN"/>
        </w:rPr>
      </w:pPr>
      <w:r>
        <w:rPr>
          <w:rFonts w:hint="eastAsia"/>
          <w:b/>
          <w:bCs/>
          <w:lang w:val="en-US" w:eastAsia="zh-CN"/>
        </w:rPr>
        <w:t>5.能效对标指标体系</w:t>
      </w:r>
    </w:p>
    <w:p>
      <w:pPr>
        <w:bidi w:val="0"/>
        <w:rPr>
          <w:rFonts w:hint="eastAsia"/>
          <w:lang w:val="en-US" w:eastAsia="zh-CN"/>
        </w:rPr>
      </w:pPr>
      <w:r>
        <w:rPr>
          <w:rFonts w:hint="eastAsia"/>
          <w:lang w:val="en-US" w:eastAsia="zh-CN"/>
        </w:rPr>
        <w:t>根据该数据中心能效现状及对本省同行业中能效水平较高的能效标杆数据中心分析结果，对标小组建立了能效指标数据库和最佳节能实践库。结合相关资料，建立了能效对标指标体系，具体内容见下表。</w:t>
      </w:r>
    </w:p>
    <w:p>
      <w:pPr>
        <w:pStyle w:val="19"/>
        <w:bidi w:val="0"/>
        <w:rPr>
          <w:rFonts w:hint="eastAsia"/>
          <w:lang w:val="en-US" w:eastAsia="zh-CN"/>
        </w:rPr>
      </w:pPr>
      <w:r>
        <w:rPr>
          <w:rFonts w:hint="eastAsia"/>
          <w:lang w:val="en-US" w:eastAsia="zh-CN"/>
        </w:rPr>
        <w:t>表B.3 能效对标体系</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663"/>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0" w:type="dxa"/>
            <w:vAlign w:val="center"/>
          </w:tcPr>
          <w:p>
            <w:pPr>
              <w:pStyle w:val="17"/>
              <w:widowControl w:val="0"/>
              <w:bidi w:val="0"/>
              <w:jc w:val="center"/>
              <w:rPr>
                <w:rFonts w:hint="default"/>
                <w:b/>
                <w:bCs/>
                <w:lang w:val="en-US" w:eastAsia="zh-CN"/>
              </w:rPr>
            </w:pPr>
            <w:r>
              <w:rPr>
                <w:rFonts w:hint="eastAsia"/>
                <w:b/>
                <w:bCs/>
                <w:lang w:val="en-US" w:eastAsia="zh-CN"/>
              </w:rPr>
              <w:t>序号</w:t>
            </w:r>
          </w:p>
        </w:tc>
        <w:tc>
          <w:tcPr>
            <w:tcW w:w="2663" w:type="dxa"/>
            <w:vAlign w:val="center"/>
          </w:tcPr>
          <w:p>
            <w:pPr>
              <w:pStyle w:val="17"/>
              <w:widowControl w:val="0"/>
              <w:bidi w:val="0"/>
              <w:jc w:val="center"/>
              <w:rPr>
                <w:rFonts w:hint="default"/>
                <w:b/>
                <w:bCs/>
                <w:lang w:val="en-US" w:eastAsia="zh-CN"/>
              </w:rPr>
            </w:pPr>
            <w:r>
              <w:rPr>
                <w:rFonts w:hint="eastAsia"/>
                <w:b/>
                <w:bCs/>
                <w:lang w:val="en-US" w:eastAsia="zh-CN"/>
              </w:rPr>
              <w:t>指标分类</w:t>
            </w:r>
          </w:p>
        </w:tc>
        <w:tc>
          <w:tcPr>
            <w:tcW w:w="4439" w:type="dxa"/>
            <w:vAlign w:val="center"/>
          </w:tcPr>
          <w:p>
            <w:pPr>
              <w:pStyle w:val="17"/>
              <w:widowControl w:val="0"/>
              <w:bidi w:val="0"/>
              <w:jc w:val="center"/>
              <w:rPr>
                <w:rFonts w:hint="default"/>
                <w:b/>
                <w:bCs/>
                <w:lang w:val="en-US" w:eastAsia="zh-CN"/>
              </w:rPr>
            </w:pPr>
            <w:r>
              <w:rPr>
                <w:rFonts w:hint="eastAsia"/>
                <w:b/>
                <w:bCs/>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0" w:type="dxa"/>
            <w:vAlign w:val="center"/>
          </w:tcPr>
          <w:p>
            <w:pPr>
              <w:pStyle w:val="17"/>
              <w:widowControl w:val="0"/>
              <w:bidi w:val="0"/>
              <w:jc w:val="center"/>
              <w:rPr>
                <w:rFonts w:hint="default"/>
                <w:lang w:val="en-US" w:eastAsia="zh-CN"/>
              </w:rPr>
            </w:pPr>
            <w:r>
              <w:rPr>
                <w:rFonts w:hint="eastAsia"/>
                <w:lang w:val="en-US" w:eastAsia="zh-CN"/>
              </w:rPr>
              <w:t>1</w:t>
            </w:r>
          </w:p>
        </w:tc>
        <w:tc>
          <w:tcPr>
            <w:tcW w:w="2663" w:type="dxa"/>
            <w:vAlign w:val="center"/>
          </w:tcPr>
          <w:p>
            <w:pPr>
              <w:pStyle w:val="17"/>
              <w:widowControl w:val="0"/>
              <w:bidi w:val="0"/>
              <w:jc w:val="center"/>
              <w:rPr>
                <w:rFonts w:hint="default"/>
                <w:lang w:val="en-US" w:eastAsia="zh-CN"/>
              </w:rPr>
            </w:pPr>
            <w:r>
              <w:rPr>
                <w:rFonts w:hint="eastAsia"/>
                <w:lang w:val="en-US" w:eastAsia="zh-CN"/>
              </w:rPr>
              <w:t>综合性指标</w:t>
            </w:r>
          </w:p>
        </w:tc>
        <w:tc>
          <w:tcPr>
            <w:tcW w:w="4439" w:type="dxa"/>
            <w:vAlign w:val="center"/>
          </w:tcPr>
          <w:p>
            <w:pPr>
              <w:pStyle w:val="17"/>
              <w:widowControl w:val="0"/>
              <w:bidi w:val="0"/>
              <w:jc w:val="center"/>
              <w:rPr>
                <w:rFonts w:hint="default"/>
                <w:lang w:val="en-US" w:eastAsia="zh-CN"/>
              </w:rPr>
            </w:pPr>
            <w:r>
              <w:rPr>
                <w:rFonts w:hint="eastAsia"/>
                <w:lang w:val="en-US" w:eastAsia="zh-CN"/>
              </w:rPr>
              <w:t>R（电能比）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0" w:type="dxa"/>
            <w:vAlign w:val="center"/>
          </w:tcPr>
          <w:p>
            <w:pPr>
              <w:pStyle w:val="17"/>
              <w:widowControl w:val="0"/>
              <w:bidi w:val="0"/>
              <w:jc w:val="center"/>
              <w:rPr>
                <w:rFonts w:hint="default"/>
                <w:lang w:val="en-US" w:eastAsia="zh-CN"/>
              </w:rPr>
            </w:pPr>
            <w:r>
              <w:rPr>
                <w:rFonts w:hint="eastAsia"/>
                <w:lang w:val="en-US" w:eastAsia="zh-CN"/>
              </w:rPr>
              <w:t>2</w:t>
            </w:r>
          </w:p>
        </w:tc>
        <w:tc>
          <w:tcPr>
            <w:tcW w:w="2663" w:type="dxa"/>
            <w:vAlign w:val="center"/>
          </w:tcPr>
          <w:p>
            <w:pPr>
              <w:pStyle w:val="17"/>
              <w:widowControl w:val="0"/>
              <w:bidi w:val="0"/>
              <w:jc w:val="center"/>
              <w:rPr>
                <w:rFonts w:hint="default"/>
                <w:lang w:val="en-US" w:eastAsia="zh-CN"/>
              </w:rPr>
            </w:pPr>
            <w:r>
              <w:rPr>
                <w:rFonts w:hint="eastAsia"/>
                <w:lang w:val="en-US" w:eastAsia="zh-CN"/>
              </w:rPr>
              <w:t>制冷系统指标</w:t>
            </w:r>
          </w:p>
        </w:tc>
        <w:tc>
          <w:tcPr>
            <w:tcW w:w="4439" w:type="dxa"/>
            <w:vAlign w:val="center"/>
          </w:tcPr>
          <w:p>
            <w:pPr>
              <w:pStyle w:val="17"/>
              <w:widowControl w:val="0"/>
              <w:bidi w:val="0"/>
              <w:jc w:val="center"/>
              <w:rPr>
                <w:rFonts w:hint="default"/>
                <w:lang w:val="en-US" w:eastAsia="zh-CN"/>
              </w:rPr>
            </w:pPr>
            <w:r>
              <w:rPr>
                <w:rFonts w:hint="eastAsia"/>
                <w:lang w:val="en-US" w:eastAsia="zh-CN"/>
              </w:rPr>
              <w:t>CLF（制冷负载因子）/%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0" w:type="dxa"/>
            <w:vAlign w:val="center"/>
          </w:tcPr>
          <w:p>
            <w:pPr>
              <w:pStyle w:val="17"/>
              <w:widowControl w:val="0"/>
              <w:bidi w:val="0"/>
              <w:jc w:val="center"/>
              <w:rPr>
                <w:rFonts w:hint="default"/>
                <w:lang w:val="en-US" w:eastAsia="zh-CN"/>
              </w:rPr>
            </w:pPr>
            <w:r>
              <w:rPr>
                <w:rFonts w:hint="eastAsia"/>
                <w:lang w:val="en-US" w:eastAsia="zh-CN"/>
              </w:rPr>
              <w:t>3</w:t>
            </w:r>
          </w:p>
        </w:tc>
        <w:tc>
          <w:tcPr>
            <w:tcW w:w="2663" w:type="dxa"/>
            <w:vAlign w:val="center"/>
          </w:tcPr>
          <w:p>
            <w:pPr>
              <w:pStyle w:val="17"/>
              <w:widowControl w:val="0"/>
              <w:bidi w:val="0"/>
              <w:jc w:val="center"/>
              <w:rPr>
                <w:rFonts w:hint="eastAsia"/>
                <w:lang w:val="en-US" w:eastAsia="zh-CN"/>
              </w:rPr>
            </w:pPr>
            <w:r>
              <w:rPr>
                <w:rFonts w:hint="eastAsia"/>
                <w:lang w:val="en-US" w:eastAsia="zh-CN"/>
              </w:rPr>
              <w:t>运维管理指标</w:t>
            </w:r>
          </w:p>
        </w:tc>
        <w:tc>
          <w:tcPr>
            <w:tcW w:w="4439" w:type="dxa"/>
            <w:vAlign w:val="center"/>
          </w:tcPr>
          <w:p>
            <w:pPr>
              <w:pStyle w:val="17"/>
              <w:widowControl w:val="0"/>
              <w:bidi w:val="0"/>
              <w:jc w:val="center"/>
              <w:rPr>
                <w:rFonts w:hint="eastAsia"/>
                <w:lang w:val="en-US" w:eastAsia="zh-CN"/>
              </w:rPr>
            </w:pPr>
            <w:r>
              <w:rPr>
                <w:rFonts w:hint="eastAsia"/>
                <w:lang w:val="en-US" w:eastAsia="zh-CN"/>
              </w:rPr>
              <w:t>系统监控形式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0" w:type="dxa"/>
            <w:vAlign w:val="center"/>
          </w:tcPr>
          <w:p>
            <w:pPr>
              <w:pStyle w:val="17"/>
              <w:widowControl w:val="0"/>
              <w:bidi w:val="0"/>
              <w:jc w:val="center"/>
              <w:rPr>
                <w:rFonts w:hint="default"/>
                <w:lang w:val="en-US" w:eastAsia="zh-CN"/>
              </w:rPr>
            </w:pPr>
            <w:r>
              <w:rPr>
                <w:rFonts w:hint="eastAsia"/>
                <w:lang w:val="en-US" w:eastAsia="zh-CN"/>
              </w:rPr>
              <w:t>4</w:t>
            </w:r>
          </w:p>
        </w:tc>
        <w:tc>
          <w:tcPr>
            <w:tcW w:w="2663" w:type="dxa"/>
            <w:vMerge w:val="restart"/>
            <w:vAlign w:val="center"/>
          </w:tcPr>
          <w:p>
            <w:pPr>
              <w:pStyle w:val="17"/>
              <w:widowControl w:val="0"/>
              <w:bidi w:val="0"/>
              <w:jc w:val="center"/>
              <w:rPr>
                <w:rFonts w:hint="eastAsia"/>
                <w:lang w:val="en-US" w:eastAsia="zh-CN"/>
              </w:rPr>
            </w:pPr>
            <w:r>
              <w:rPr>
                <w:rFonts w:hint="eastAsia"/>
                <w:lang w:val="en-US" w:eastAsia="zh-CN"/>
              </w:rPr>
              <w:t>设备指标</w:t>
            </w:r>
          </w:p>
        </w:tc>
        <w:tc>
          <w:tcPr>
            <w:tcW w:w="4439" w:type="dxa"/>
            <w:vAlign w:val="center"/>
          </w:tcPr>
          <w:p>
            <w:pPr>
              <w:pStyle w:val="17"/>
              <w:widowControl w:val="0"/>
              <w:bidi w:val="0"/>
              <w:jc w:val="center"/>
              <w:rPr>
                <w:rFonts w:hint="eastAsia"/>
                <w:lang w:val="en-US" w:eastAsia="zh-CN"/>
              </w:rPr>
            </w:pPr>
            <w:r>
              <w:rPr>
                <w:rFonts w:hint="eastAsia"/>
                <w:lang w:val="en-US" w:eastAsia="zh-CN"/>
              </w:rPr>
              <w:t>空调形式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0" w:type="dxa"/>
            <w:vAlign w:val="center"/>
          </w:tcPr>
          <w:p>
            <w:pPr>
              <w:pStyle w:val="17"/>
              <w:widowControl w:val="0"/>
              <w:bidi w:val="0"/>
              <w:jc w:val="center"/>
              <w:rPr>
                <w:rFonts w:hint="default"/>
                <w:lang w:val="en-US" w:eastAsia="zh-CN"/>
              </w:rPr>
            </w:pPr>
            <w:r>
              <w:rPr>
                <w:rFonts w:hint="eastAsia"/>
                <w:lang w:val="en-US" w:eastAsia="zh-CN"/>
              </w:rPr>
              <w:t>5</w:t>
            </w:r>
          </w:p>
        </w:tc>
        <w:tc>
          <w:tcPr>
            <w:tcW w:w="2663" w:type="dxa"/>
            <w:vMerge w:val="continue"/>
            <w:vAlign w:val="center"/>
          </w:tcPr>
          <w:p>
            <w:pPr>
              <w:pStyle w:val="17"/>
              <w:widowControl w:val="0"/>
              <w:bidi w:val="0"/>
              <w:jc w:val="center"/>
              <w:rPr>
                <w:rFonts w:hint="eastAsia"/>
                <w:lang w:val="en-US" w:eastAsia="zh-CN"/>
              </w:rPr>
            </w:pPr>
          </w:p>
        </w:tc>
        <w:tc>
          <w:tcPr>
            <w:tcW w:w="4439" w:type="dxa"/>
            <w:vAlign w:val="center"/>
          </w:tcPr>
          <w:p>
            <w:pPr>
              <w:pStyle w:val="17"/>
              <w:widowControl w:val="0"/>
              <w:bidi w:val="0"/>
              <w:jc w:val="center"/>
              <w:rPr>
                <w:rFonts w:hint="eastAsia" w:eastAsia="宋体" w:cs="Times New Roman"/>
                <w:lang w:eastAsia="zh-CN"/>
              </w:rPr>
            </w:pPr>
            <w:r>
              <w:rPr>
                <w:rFonts w:hint="eastAsia" w:cs="Times New Roman"/>
              </w:rPr>
              <w:t>空调末端供冷形式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0" w:type="dxa"/>
            <w:vAlign w:val="center"/>
          </w:tcPr>
          <w:p>
            <w:pPr>
              <w:pStyle w:val="17"/>
              <w:widowControl w:val="0"/>
              <w:bidi w:val="0"/>
              <w:jc w:val="center"/>
              <w:rPr>
                <w:rFonts w:hint="default"/>
                <w:lang w:val="en-US" w:eastAsia="zh-CN"/>
              </w:rPr>
            </w:pPr>
            <w:r>
              <w:rPr>
                <w:rFonts w:hint="eastAsia"/>
                <w:lang w:val="en-US" w:eastAsia="zh-CN"/>
              </w:rPr>
              <w:t>6</w:t>
            </w:r>
          </w:p>
        </w:tc>
        <w:tc>
          <w:tcPr>
            <w:tcW w:w="2663" w:type="dxa"/>
            <w:vMerge w:val="continue"/>
            <w:vAlign w:val="center"/>
          </w:tcPr>
          <w:p>
            <w:pPr>
              <w:pStyle w:val="17"/>
              <w:widowControl w:val="0"/>
              <w:bidi w:val="0"/>
              <w:jc w:val="center"/>
              <w:rPr>
                <w:rFonts w:hint="eastAsia"/>
                <w:lang w:val="en-US" w:eastAsia="zh-CN"/>
              </w:rPr>
            </w:pPr>
          </w:p>
        </w:tc>
        <w:tc>
          <w:tcPr>
            <w:tcW w:w="4439" w:type="dxa"/>
            <w:vAlign w:val="center"/>
          </w:tcPr>
          <w:p>
            <w:pPr>
              <w:pStyle w:val="17"/>
              <w:widowControl w:val="0"/>
              <w:bidi w:val="0"/>
              <w:jc w:val="center"/>
              <w:rPr>
                <w:rFonts w:hint="eastAsia" w:cs="Times New Roman"/>
                <w:lang w:eastAsia="zh-CN"/>
              </w:rPr>
            </w:pPr>
            <w:r>
              <w:rPr>
                <w:rFonts w:hint="eastAsia" w:cs="Times New Roman"/>
                <w:lang w:eastAsia="zh-CN"/>
              </w:rPr>
              <w:t>冷水机组控制方式</w:t>
            </w:r>
          </w:p>
        </w:tc>
      </w:tr>
    </w:tbl>
    <w:p>
      <w:pPr>
        <w:bidi w:val="0"/>
        <w:rPr>
          <w:rFonts w:hint="default"/>
          <w:b/>
          <w:bCs/>
          <w:lang w:val="en-US" w:eastAsia="zh-CN"/>
        </w:rPr>
      </w:pPr>
      <w:r>
        <w:rPr>
          <w:rFonts w:hint="eastAsia"/>
          <w:b/>
          <w:bCs/>
          <w:lang w:val="en-US" w:eastAsia="zh-CN"/>
        </w:rPr>
        <w:t>6.开展对标分析</w:t>
      </w:r>
    </w:p>
    <w:p>
      <w:pPr>
        <w:rPr>
          <w:rFonts w:hint="eastAsia"/>
          <w:lang w:val="en-US" w:eastAsia="zh-CN"/>
        </w:rPr>
      </w:pPr>
      <w:r>
        <w:rPr>
          <w:rFonts w:hint="eastAsia"/>
          <w:lang w:val="en-US" w:eastAsia="zh-CN"/>
        </w:rPr>
        <w:t>（1）电能比的计算</w:t>
      </w:r>
    </w:p>
    <w:p>
      <w:pPr>
        <w:pStyle w:val="2"/>
        <w:rPr>
          <w:rFonts w:hint="eastAsia"/>
          <w:lang w:val="en-US" w:eastAsia="zh-CN"/>
        </w:rPr>
      </w:pPr>
      <w:r>
        <w:rPr>
          <w:rFonts w:hint="eastAsia"/>
          <w:lang w:val="en-US" w:eastAsia="zh-CN"/>
        </w:rPr>
        <w:t>①主要试验参数的采集及处理</w:t>
      </w:r>
    </w:p>
    <w:p>
      <w:pPr>
        <w:pStyle w:val="2"/>
        <w:rPr>
          <w:rFonts w:hint="eastAsia"/>
          <w:lang w:val="en-US" w:eastAsia="zh-CN"/>
        </w:rPr>
      </w:pPr>
      <w:r>
        <w:rPr>
          <w:rFonts w:hint="default"/>
          <w:lang w:val="en-US" w:eastAsia="zh-CN"/>
        </w:rPr>
        <w:t>按</w:t>
      </w:r>
      <w:r>
        <w:rPr>
          <w:rFonts w:hint="eastAsia"/>
          <w:lang w:val="en-US" w:eastAsia="zh-CN"/>
        </w:rPr>
        <w:t>本指南3.3.2电能比的</w:t>
      </w:r>
      <w:r>
        <w:rPr>
          <w:rFonts w:hint="default"/>
          <w:lang w:val="en-US" w:eastAsia="zh-CN"/>
        </w:rPr>
        <w:t>测</w:t>
      </w:r>
      <w:r>
        <w:rPr>
          <w:rFonts w:hint="eastAsia"/>
          <w:lang w:val="en-US" w:eastAsia="zh-CN"/>
        </w:rPr>
        <w:t>算方法</w:t>
      </w:r>
      <w:r>
        <w:rPr>
          <w:rFonts w:hint="default"/>
          <w:lang w:val="en-US" w:eastAsia="zh-CN"/>
        </w:rPr>
        <w:t>进行测试，应采集的主要参数和处理方式见</w:t>
      </w:r>
      <w:r>
        <w:rPr>
          <w:rFonts w:hint="eastAsia"/>
          <w:lang w:val="en-US" w:eastAsia="zh-CN"/>
        </w:rPr>
        <w:t>下</w:t>
      </w:r>
      <w:r>
        <w:rPr>
          <w:rFonts w:hint="default"/>
          <w:lang w:val="en-US" w:eastAsia="zh-CN"/>
        </w:rPr>
        <w:t>表</w:t>
      </w:r>
      <w:r>
        <w:rPr>
          <w:rFonts w:hint="eastAsia"/>
          <w:lang w:val="en-US" w:eastAsia="zh-CN"/>
        </w:rPr>
        <w:t>。</w:t>
      </w:r>
    </w:p>
    <w:p>
      <w:pPr>
        <w:pStyle w:val="19"/>
        <w:bidi w:val="0"/>
        <w:rPr>
          <w:rFonts w:hint="eastAsia"/>
          <w:lang w:val="en-US" w:eastAsia="zh-CN"/>
        </w:rPr>
      </w:pPr>
      <w:r>
        <w:rPr>
          <w:rFonts w:hint="eastAsia"/>
          <w:lang w:val="en-US" w:eastAsia="zh-CN"/>
        </w:rPr>
        <w:t>表B.4 主要实验参数的采集及处理</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2"/>
        <w:gridCol w:w="3003"/>
        <w:gridCol w:w="774"/>
        <w:gridCol w:w="821"/>
        <w:gridCol w:w="31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39" w:type="dxa"/>
            <w:noWrap w:val="0"/>
            <w:vAlign w:val="center"/>
          </w:tcPr>
          <w:p>
            <w:pPr>
              <w:pStyle w:val="17"/>
              <w:bidi w:val="0"/>
              <w:jc w:val="center"/>
              <w:rPr>
                <w:b/>
                <w:bCs/>
              </w:rPr>
            </w:pPr>
            <w:r>
              <w:rPr>
                <w:b/>
                <w:bCs/>
              </w:rPr>
              <w:t>序号</w:t>
            </w:r>
          </w:p>
        </w:tc>
        <w:tc>
          <w:tcPr>
            <w:tcW w:w="3613" w:type="dxa"/>
            <w:noWrap w:val="0"/>
            <w:vAlign w:val="center"/>
          </w:tcPr>
          <w:p>
            <w:pPr>
              <w:pStyle w:val="17"/>
              <w:bidi w:val="0"/>
              <w:jc w:val="center"/>
              <w:rPr>
                <w:b/>
                <w:bCs/>
              </w:rPr>
            </w:pPr>
            <w:r>
              <w:rPr>
                <w:rFonts w:hint="eastAsia"/>
                <w:b/>
                <w:bCs/>
              </w:rPr>
              <w:t>参数</w:t>
            </w:r>
          </w:p>
        </w:tc>
        <w:tc>
          <w:tcPr>
            <w:tcW w:w="923" w:type="dxa"/>
            <w:noWrap w:val="0"/>
            <w:vAlign w:val="center"/>
          </w:tcPr>
          <w:p>
            <w:pPr>
              <w:pStyle w:val="17"/>
              <w:bidi w:val="0"/>
              <w:jc w:val="center"/>
              <w:rPr>
                <w:b/>
                <w:bCs/>
              </w:rPr>
            </w:pPr>
            <w:r>
              <w:rPr>
                <w:rFonts w:hint="eastAsia"/>
                <w:b/>
                <w:bCs/>
              </w:rPr>
              <w:t>测量时间</w:t>
            </w:r>
          </w:p>
        </w:tc>
        <w:tc>
          <w:tcPr>
            <w:tcW w:w="923" w:type="dxa"/>
            <w:noWrap w:val="0"/>
            <w:vAlign w:val="center"/>
          </w:tcPr>
          <w:p>
            <w:pPr>
              <w:pStyle w:val="17"/>
              <w:bidi w:val="0"/>
              <w:jc w:val="center"/>
              <w:rPr>
                <w:b/>
                <w:bCs/>
              </w:rPr>
            </w:pPr>
            <w:r>
              <w:rPr>
                <w:rFonts w:hint="eastAsia"/>
                <w:b/>
                <w:bCs/>
              </w:rPr>
              <w:t>测量间隔</w:t>
            </w:r>
          </w:p>
        </w:tc>
        <w:tc>
          <w:tcPr>
            <w:tcW w:w="3827" w:type="dxa"/>
            <w:noWrap w:val="0"/>
            <w:vAlign w:val="center"/>
          </w:tcPr>
          <w:p>
            <w:pPr>
              <w:pStyle w:val="17"/>
              <w:bidi w:val="0"/>
              <w:jc w:val="center"/>
              <w:rPr>
                <w:b/>
                <w:bCs/>
              </w:rPr>
            </w:pPr>
            <w:r>
              <w:rPr>
                <w:rFonts w:hint="eastAsia"/>
                <w:b/>
                <w:bCs/>
              </w:rPr>
              <w:t>数据处理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39" w:type="dxa"/>
            <w:noWrap w:val="0"/>
            <w:vAlign w:val="center"/>
          </w:tcPr>
          <w:p>
            <w:pPr>
              <w:pStyle w:val="17"/>
              <w:bidi w:val="0"/>
              <w:jc w:val="center"/>
            </w:pPr>
            <w:r>
              <w:rPr>
                <w:rFonts w:hint="eastAsia"/>
              </w:rPr>
              <w:t>1</w:t>
            </w:r>
          </w:p>
        </w:tc>
        <w:tc>
          <w:tcPr>
            <w:tcW w:w="3613" w:type="dxa"/>
            <w:noWrap w:val="0"/>
            <w:vAlign w:val="center"/>
          </w:tcPr>
          <w:p>
            <w:pPr>
              <w:pStyle w:val="17"/>
              <w:bidi w:val="0"/>
              <w:jc w:val="center"/>
            </w:pPr>
            <w:r>
              <w:rPr>
                <w:rFonts w:hint="eastAsia"/>
              </w:rPr>
              <w:t>数据中心外侧干球温度（℃）</w:t>
            </w:r>
          </w:p>
        </w:tc>
        <w:tc>
          <w:tcPr>
            <w:tcW w:w="923" w:type="dxa"/>
            <w:noWrap w:val="0"/>
            <w:vAlign w:val="center"/>
          </w:tcPr>
          <w:p>
            <w:pPr>
              <w:pStyle w:val="17"/>
              <w:bidi w:val="0"/>
              <w:jc w:val="center"/>
            </w:pPr>
            <w:r>
              <w:rPr>
                <w:rFonts w:hint="eastAsia"/>
              </w:rPr>
              <w:t>≥2h</w:t>
            </w:r>
          </w:p>
        </w:tc>
        <w:tc>
          <w:tcPr>
            <w:tcW w:w="923" w:type="dxa"/>
            <w:noWrap w:val="0"/>
            <w:vAlign w:val="center"/>
          </w:tcPr>
          <w:p>
            <w:pPr>
              <w:pStyle w:val="17"/>
              <w:bidi w:val="0"/>
              <w:jc w:val="center"/>
            </w:pPr>
            <w:r>
              <w:rPr>
                <w:rFonts w:hint="eastAsia"/>
              </w:rPr>
              <w:t>≤2min</w:t>
            </w:r>
          </w:p>
        </w:tc>
        <w:tc>
          <w:tcPr>
            <w:tcW w:w="3827" w:type="dxa"/>
            <w:noWrap w:val="0"/>
            <w:vAlign w:val="center"/>
          </w:tcPr>
          <w:p>
            <w:pPr>
              <w:pStyle w:val="17"/>
              <w:bidi w:val="0"/>
              <w:jc w:val="center"/>
            </w:pPr>
            <w:r>
              <w:rPr>
                <w:rFonts w:hint="eastAsia"/>
              </w:rPr>
              <w:t>对采集得到的数据满足表2中某个特性工况点（±2℃之间）的所有采集数据的平均值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39" w:type="dxa"/>
            <w:noWrap w:val="0"/>
            <w:vAlign w:val="center"/>
          </w:tcPr>
          <w:p>
            <w:pPr>
              <w:pStyle w:val="17"/>
              <w:bidi w:val="0"/>
              <w:jc w:val="center"/>
            </w:pPr>
            <w:r>
              <w:rPr>
                <w:rFonts w:hint="eastAsia"/>
              </w:rPr>
              <w:t>2</w:t>
            </w:r>
          </w:p>
        </w:tc>
        <w:tc>
          <w:tcPr>
            <w:tcW w:w="3613" w:type="dxa"/>
            <w:noWrap w:val="0"/>
            <w:vAlign w:val="center"/>
          </w:tcPr>
          <w:p>
            <w:pPr>
              <w:pStyle w:val="17"/>
              <w:bidi w:val="0"/>
              <w:jc w:val="center"/>
            </w:pPr>
            <w:r>
              <w:rPr>
                <w:rFonts w:hint="eastAsia"/>
              </w:rPr>
              <w:t>数据中心外侧湿球温度（℃）</w:t>
            </w:r>
          </w:p>
        </w:tc>
        <w:tc>
          <w:tcPr>
            <w:tcW w:w="923" w:type="dxa"/>
            <w:noWrap w:val="0"/>
            <w:vAlign w:val="center"/>
          </w:tcPr>
          <w:p>
            <w:pPr>
              <w:pStyle w:val="17"/>
              <w:bidi w:val="0"/>
              <w:jc w:val="center"/>
            </w:pPr>
            <w:r>
              <w:rPr>
                <w:rFonts w:hint="eastAsia"/>
              </w:rPr>
              <w:t>≥2h</w:t>
            </w:r>
          </w:p>
        </w:tc>
        <w:tc>
          <w:tcPr>
            <w:tcW w:w="923" w:type="dxa"/>
            <w:noWrap w:val="0"/>
            <w:vAlign w:val="center"/>
          </w:tcPr>
          <w:p>
            <w:pPr>
              <w:pStyle w:val="17"/>
              <w:bidi w:val="0"/>
              <w:jc w:val="center"/>
            </w:pPr>
            <w:r>
              <w:rPr>
                <w:rFonts w:hint="eastAsia"/>
              </w:rPr>
              <w:t>≤2min</w:t>
            </w:r>
          </w:p>
        </w:tc>
        <w:tc>
          <w:tcPr>
            <w:tcW w:w="3827" w:type="dxa"/>
            <w:noWrap w:val="0"/>
            <w:vAlign w:val="center"/>
          </w:tcPr>
          <w:p>
            <w:pPr>
              <w:pStyle w:val="17"/>
              <w:bidi w:val="0"/>
              <w:jc w:val="center"/>
            </w:pPr>
            <w:r>
              <w:rPr>
                <w:rFonts w:hint="eastAsia"/>
              </w:rPr>
              <w:t>对应数据中心外侧干球温度同时采集得到的数据的平均值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39" w:type="dxa"/>
            <w:noWrap w:val="0"/>
            <w:vAlign w:val="center"/>
          </w:tcPr>
          <w:p>
            <w:pPr>
              <w:pStyle w:val="17"/>
              <w:bidi w:val="0"/>
              <w:jc w:val="center"/>
            </w:pPr>
            <w:r>
              <w:rPr>
                <w:rFonts w:hint="eastAsia"/>
              </w:rPr>
              <w:t>3</w:t>
            </w:r>
          </w:p>
        </w:tc>
        <w:tc>
          <w:tcPr>
            <w:tcW w:w="3613" w:type="dxa"/>
            <w:noWrap w:val="0"/>
            <w:vAlign w:val="center"/>
          </w:tcPr>
          <w:p>
            <w:pPr>
              <w:pStyle w:val="17"/>
              <w:bidi w:val="0"/>
              <w:jc w:val="center"/>
            </w:pPr>
            <w:r>
              <w:t>数据中心内侧干球温度</w:t>
            </w:r>
            <w:r>
              <w:rPr>
                <w:rFonts w:hint="eastAsia"/>
              </w:rPr>
              <w:t>（℃）</w:t>
            </w:r>
          </w:p>
        </w:tc>
        <w:tc>
          <w:tcPr>
            <w:tcW w:w="923" w:type="dxa"/>
            <w:noWrap w:val="0"/>
            <w:vAlign w:val="center"/>
          </w:tcPr>
          <w:p>
            <w:pPr>
              <w:pStyle w:val="17"/>
              <w:bidi w:val="0"/>
              <w:jc w:val="center"/>
            </w:pPr>
            <w:r>
              <w:rPr>
                <w:rFonts w:hint="eastAsia"/>
              </w:rPr>
              <w:t>≥2h</w:t>
            </w:r>
          </w:p>
        </w:tc>
        <w:tc>
          <w:tcPr>
            <w:tcW w:w="923" w:type="dxa"/>
            <w:noWrap w:val="0"/>
            <w:vAlign w:val="center"/>
          </w:tcPr>
          <w:p>
            <w:pPr>
              <w:pStyle w:val="17"/>
              <w:bidi w:val="0"/>
              <w:jc w:val="center"/>
            </w:pPr>
            <w:r>
              <w:rPr>
                <w:rFonts w:hint="eastAsia"/>
              </w:rPr>
              <w:t>≤2min</w:t>
            </w:r>
          </w:p>
        </w:tc>
        <w:tc>
          <w:tcPr>
            <w:tcW w:w="3827" w:type="dxa"/>
            <w:noWrap w:val="0"/>
            <w:vAlign w:val="center"/>
          </w:tcPr>
          <w:p>
            <w:pPr>
              <w:pStyle w:val="17"/>
              <w:bidi w:val="0"/>
              <w:jc w:val="center"/>
            </w:pPr>
            <w:r>
              <w:rPr>
                <w:rFonts w:hint="eastAsia"/>
              </w:rPr>
              <w:t>对应数据中心外侧干球温度同时采集得到的数据的平均值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39" w:type="dxa"/>
            <w:noWrap w:val="0"/>
            <w:vAlign w:val="center"/>
          </w:tcPr>
          <w:p>
            <w:pPr>
              <w:pStyle w:val="17"/>
              <w:bidi w:val="0"/>
              <w:jc w:val="center"/>
            </w:pPr>
            <w:r>
              <w:rPr>
                <w:rFonts w:hint="eastAsia"/>
              </w:rPr>
              <w:t>4</w:t>
            </w:r>
          </w:p>
        </w:tc>
        <w:tc>
          <w:tcPr>
            <w:tcW w:w="3613" w:type="dxa"/>
            <w:noWrap w:val="0"/>
            <w:vAlign w:val="center"/>
          </w:tcPr>
          <w:p>
            <w:pPr>
              <w:pStyle w:val="17"/>
              <w:bidi w:val="0"/>
              <w:jc w:val="center"/>
            </w:pPr>
            <w:r>
              <w:t>数据中心内侧</w:t>
            </w:r>
            <w:r>
              <w:rPr>
                <w:rFonts w:hint="eastAsia"/>
              </w:rPr>
              <w:t>湿</w:t>
            </w:r>
            <w:r>
              <w:t>球温度</w:t>
            </w:r>
            <w:r>
              <w:rPr>
                <w:rFonts w:hint="eastAsia"/>
              </w:rPr>
              <w:t>（℃）</w:t>
            </w:r>
          </w:p>
        </w:tc>
        <w:tc>
          <w:tcPr>
            <w:tcW w:w="923" w:type="dxa"/>
            <w:noWrap w:val="0"/>
            <w:vAlign w:val="center"/>
          </w:tcPr>
          <w:p>
            <w:pPr>
              <w:pStyle w:val="17"/>
              <w:bidi w:val="0"/>
              <w:jc w:val="center"/>
            </w:pPr>
            <w:r>
              <w:rPr>
                <w:rFonts w:hint="eastAsia"/>
              </w:rPr>
              <w:t>≥2h</w:t>
            </w:r>
          </w:p>
        </w:tc>
        <w:tc>
          <w:tcPr>
            <w:tcW w:w="923" w:type="dxa"/>
            <w:noWrap w:val="0"/>
            <w:vAlign w:val="center"/>
          </w:tcPr>
          <w:p>
            <w:pPr>
              <w:pStyle w:val="17"/>
              <w:bidi w:val="0"/>
              <w:jc w:val="center"/>
            </w:pPr>
            <w:r>
              <w:rPr>
                <w:rFonts w:hint="eastAsia"/>
              </w:rPr>
              <w:t>≤2min</w:t>
            </w:r>
          </w:p>
        </w:tc>
        <w:tc>
          <w:tcPr>
            <w:tcW w:w="3827" w:type="dxa"/>
            <w:noWrap w:val="0"/>
            <w:vAlign w:val="center"/>
          </w:tcPr>
          <w:p>
            <w:pPr>
              <w:pStyle w:val="17"/>
              <w:bidi w:val="0"/>
              <w:jc w:val="center"/>
            </w:pPr>
            <w:r>
              <w:rPr>
                <w:rFonts w:hint="eastAsia"/>
              </w:rPr>
              <w:t>对应数据中心外侧干球温度同时采集得到的数据的平均值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39" w:type="dxa"/>
            <w:noWrap w:val="0"/>
            <w:vAlign w:val="center"/>
          </w:tcPr>
          <w:p>
            <w:pPr>
              <w:pStyle w:val="17"/>
              <w:bidi w:val="0"/>
              <w:jc w:val="center"/>
            </w:pPr>
            <w:r>
              <w:rPr>
                <w:rFonts w:hint="eastAsia"/>
              </w:rPr>
              <w:t>5</w:t>
            </w:r>
          </w:p>
        </w:tc>
        <w:tc>
          <w:tcPr>
            <w:tcW w:w="3613" w:type="dxa"/>
            <w:noWrap w:val="0"/>
            <w:vAlign w:val="center"/>
          </w:tcPr>
          <w:p>
            <w:pPr>
              <w:pStyle w:val="17"/>
              <w:bidi w:val="0"/>
              <w:jc w:val="center"/>
            </w:pPr>
            <w:r>
              <w:t>数据中心信息设备实际运行负载</w:t>
            </w:r>
            <w:r>
              <w:rPr>
                <w:rFonts w:hint="eastAsia"/>
              </w:rPr>
              <w:t>（%）</w:t>
            </w:r>
          </w:p>
        </w:tc>
        <w:tc>
          <w:tcPr>
            <w:tcW w:w="923" w:type="dxa"/>
            <w:noWrap w:val="0"/>
            <w:vAlign w:val="center"/>
          </w:tcPr>
          <w:p>
            <w:pPr>
              <w:pStyle w:val="17"/>
              <w:bidi w:val="0"/>
              <w:jc w:val="center"/>
            </w:pPr>
            <w:r>
              <w:rPr>
                <w:rFonts w:hint="eastAsia"/>
              </w:rPr>
              <w:t>≥2h</w:t>
            </w:r>
          </w:p>
        </w:tc>
        <w:tc>
          <w:tcPr>
            <w:tcW w:w="923" w:type="dxa"/>
            <w:noWrap w:val="0"/>
            <w:vAlign w:val="center"/>
          </w:tcPr>
          <w:p>
            <w:pPr>
              <w:pStyle w:val="17"/>
              <w:bidi w:val="0"/>
              <w:jc w:val="center"/>
            </w:pPr>
            <w:r>
              <w:rPr>
                <w:rFonts w:hint="eastAsia"/>
              </w:rPr>
              <w:t>≤2min</w:t>
            </w:r>
          </w:p>
        </w:tc>
        <w:tc>
          <w:tcPr>
            <w:tcW w:w="3827" w:type="dxa"/>
            <w:noWrap w:val="0"/>
            <w:vAlign w:val="center"/>
          </w:tcPr>
          <w:p>
            <w:pPr>
              <w:pStyle w:val="17"/>
              <w:bidi w:val="0"/>
              <w:jc w:val="center"/>
            </w:pPr>
            <w:r>
              <w:rPr>
                <w:rFonts w:hint="eastAsia"/>
              </w:rPr>
              <w:t>对应数据中心外侧干球温度同时采集得到的数据的平均值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39" w:type="dxa"/>
            <w:noWrap w:val="0"/>
            <w:vAlign w:val="center"/>
          </w:tcPr>
          <w:p>
            <w:pPr>
              <w:pStyle w:val="17"/>
              <w:bidi w:val="0"/>
              <w:jc w:val="center"/>
            </w:pPr>
            <w:r>
              <w:rPr>
                <w:rFonts w:hint="eastAsia"/>
              </w:rPr>
              <w:t>6</w:t>
            </w:r>
          </w:p>
        </w:tc>
        <w:tc>
          <w:tcPr>
            <w:tcW w:w="3613" w:type="dxa"/>
            <w:noWrap w:val="0"/>
            <w:vAlign w:val="center"/>
          </w:tcPr>
          <w:p>
            <w:pPr>
              <w:pStyle w:val="17"/>
              <w:bidi w:val="0"/>
              <w:jc w:val="center"/>
            </w:pPr>
            <w:r>
              <w:t>信息设备消耗功率</w:t>
            </w:r>
            <w:r>
              <w:rPr>
                <w:rFonts w:hint="eastAsia"/>
              </w:rPr>
              <w:t>（kW）</w:t>
            </w:r>
          </w:p>
        </w:tc>
        <w:tc>
          <w:tcPr>
            <w:tcW w:w="923" w:type="dxa"/>
            <w:noWrap w:val="0"/>
            <w:vAlign w:val="center"/>
          </w:tcPr>
          <w:p>
            <w:pPr>
              <w:pStyle w:val="17"/>
              <w:bidi w:val="0"/>
              <w:jc w:val="center"/>
            </w:pPr>
            <w:r>
              <w:rPr>
                <w:rFonts w:hint="eastAsia"/>
              </w:rPr>
              <w:t>≥2h</w:t>
            </w:r>
          </w:p>
        </w:tc>
        <w:tc>
          <w:tcPr>
            <w:tcW w:w="923" w:type="dxa"/>
            <w:noWrap w:val="0"/>
            <w:vAlign w:val="center"/>
          </w:tcPr>
          <w:p>
            <w:pPr>
              <w:pStyle w:val="17"/>
              <w:bidi w:val="0"/>
              <w:jc w:val="center"/>
            </w:pPr>
            <w:r>
              <w:rPr>
                <w:rFonts w:hint="eastAsia"/>
              </w:rPr>
              <w:t>≤2min</w:t>
            </w:r>
          </w:p>
        </w:tc>
        <w:tc>
          <w:tcPr>
            <w:tcW w:w="3827" w:type="dxa"/>
            <w:noWrap w:val="0"/>
            <w:vAlign w:val="center"/>
          </w:tcPr>
          <w:p>
            <w:pPr>
              <w:pStyle w:val="17"/>
              <w:bidi w:val="0"/>
              <w:jc w:val="center"/>
            </w:pPr>
            <w:r>
              <w:rPr>
                <w:rFonts w:hint="eastAsia"/>
              </w:rPr>
              <w:t>对应数据中心外侧干球温度同时采集得到的数据的平均值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39" w:type="dxa"/>
            <w:noWrap w:val="0"/>
            <w:vAlign w:val="center"/>
          </w:tcPr>
          <w:p>
            <w:pPr>
              <w:pStyle w:val="17"/>
              <w:bidi w:val="0"/>
              <w:jc w:val="center"/>
            </w:pPr>
            <w:r>
              <w:rPr>
                <w:rFonts w:hint="eastAsia"/>
              </w:rPr>
              <w:t>7</w:t>
            </w:r>
          </w:p>
        </w:tc>
        <w:tc>
          <w:tcPr>
            <w:tcW w:w="3613" w:type="dxa"/>
            <w:noWrap w:val="0"/>
            <w:vAlign w:val="center"/>
          </w:tcPr>
          <w:p>
            <w:pPr>
              <w:pStyle w:val="17"/>
              <w:bidi w:val="0"/>
              <w:jc w:val="center"/>
            </w:pPr>
            <w:r>
              <w:t>数据中心总消耗功率</w:t>
            </w:r>
            <w:r>
              <w:rPr>
                <w:rFonts w:hint="eastAsia"/>
              </w:rPr>
              <w:t>（kW）</w:t>
            </w:r>
          </w:p>
        </w:tc>
        <w:tc>
          <w:tcPr>
            <w:tcW w:w="923" w:type="dxa"/>
            <w:noWrap w:val="0"/>
            <w:vAlign w:val="center"/>
          </w:tcPr>
          <w:p>
            <w:pPr>
              <w:pStyle w:val="17"/>
              <w:bidi w:val="0"/>
              <w:jc w:val="center"/>
            </w:pPr>
            <w:r>
              <w:rPr>
                <w:rFonts w:hint="eastAsia"/>
              </w:rPr>
              <w:t>≥2h</w:t>
            </w:r>
          </w:p>
        </w:tc>
        <w:tc>
          <w:tcPr>
            <w:tcW w:w="923" w:type="dxa"/>
            <w:noWrap w:val="0"/>
            <w:vAlign w:val="center"/>
          </w:tcPr>
          <w:p>
            <w:pPr>
              <w:pStyle w:val="17"/>
              <w:bidi w:val="0"/>
              <w:jc w:val="center"/>
            </w:pPr>
            <w:r>
              <w:rPr>
                <w:rFonts w:hint="eastAsia"/>
              </w:rPr>
              <w:t>≤2min</w:t>
            </w:r>
          </w:p>
        </w:tc>
        <w:tc>
          <w:tcPr>
            <w:tcW w:w="3827" w:type="dxa"/>
            <w:noWrap w:val="0"/>
            <w:vAlign w:val="center"/>
          </w:tcPr>
          <w:p>
            <w:pPr>
              <w:pStyle w:val="17"/>
              <w:bidi w:val="0"/>
              <w:jc w:val="center"/>
            </w:pPr>
            <w:r>
              <w:rPr>
                <w:rFonts w:hint="eastAsia"/>
              </w:rPr>
              <w:t>对应数据中心外侧干球温度同时采集得到的数据的平均值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9925" w:type="dxa"/>
            <w:gridSpan w:val="5"/>
            <w:noWrap w:val="0"/>
            <w:vAlign w:val="center"/>
          </w:tcPr>
          <w:p>
            <w:pPr>
              <w:pStyle w:val="17"/>
              <w:bidi w:val="0"/>
              <w:jc w:val="both"/>
            </w:pPr>
            <w:r>
              <w:rPr>
                <w:rFonts w:hint="eastAsia"/>
              </w:rPr>
              <w:t>备注：表中的特性工况点指表2中对应数据中心外侧干球温度</w:t>
            </w:r>
            <w:r>
              <w:t>a</w:t>
            </w:r>
            <w:r>
              <w:rPr>
                <w:rFonts w:hint="eastAsia"/>
              </w:rPr>
              <w:t>、</w:t>
            </w:r>
            <w:r>
              <w:t>b</w:t>
            </w:r>
            <w:r>
              <w:rPr>
                <w:rFonts w:hint="eastAsia"/>
              </w:rPr>
              <w:t>、</w:t>
            </w:r>
            <w:r>
              <w:t>c</w:t>
            </w:r>
            <w:r>
              <w:rPr>
                <w:rFonts w:hint="eastAsia"/>
              </w:rPr>
              <w:t>、</w:t>
            </w:r>
            <w:r>
              <w:t>d</w:t>
            </w:r>
            <w:r>
              <w:rPr>
                <w:rFonts w:hint="eastAsia"/>
              </w:rPr>
              <w:t>、</w:t>
            </w:r>
            <w:r>
              <w:t>e</w:t>
            </w:r>
            <w:r>
              <w:rPr>
                <w:rFonts w:hint="eastAsia"/>
              </w:rPr>
              <w:t>对应下的工况点；对于</w:t>
            </w:r>
            <w:r>
              <w:t>a</w:t>
            </w:r>
            <w:r>
              <w:rPr>
                <w:rFonts w:hint="eastAsia"/>
              </w:rPr>
              <w:t>和</w:t>
            </w:r>
            <w:r>
              <w:t>e</w:t>
            </w:r>
            <w:r>
              <w:rPr>
                <w:rFonts w:hint="eastAsia"/>
              </w:rPr>
              <w:t>两个特性点，当所在城市温度达不到35℃或-5℃的情况时，数据中心外侧干球温度为采集数据中“≥30℃”或“＜0℃”所有数据的平均值。</w:t>
            </w:r>
          </w:p>
        </w:tc>
      </w:tr>
    </w:tbl>
    <w:p>
      <w:pPr>
        <w:bidi w:val="0"/>
        <w:rPr>
          <w:rFonts w:hint="eastAsia"/>
          <w:lang w:val="en-US" w:eastAsia="zh-CN"/>
        </w:rPr>
      </w:pPr>
      <w:r>
        <w:rPr>
          <w:rFonts w:hint="eastAsia"/>
          <w:lang w:val="en-US" w:eastAsia="zh-CN"/>
        </w:rPr>
        <w:t>②测试数据如下表。</w:t>
      </w:r>
    </w:p>
    <w:p>
      <w:pPr>
        <w:pStyle w:val="19"/>
        <w:bidi w:val="0"/>
        <w:rPr>
          <w:rFonts w:hint="default"/>
          <w:lang w:val="en-US" w:eastAsia="zh-CN"/>
        </w:rPr>
      </w:pPr>
      <w:r>
        <w:rPr>
          <w:rFonts w:hint="eastAsia"/>
          <w:lang w:val="en-US" w:eastAsia="zh-CN"/>
        </w:rPr>
        <w:t>表B.5 该</w:t>
      </w:r>
      <w:r>
        <w:rPr>
          <w:rFonts w:hint="default"/>
          <w:lang w:val="en-US" w:eastAsia="zh-CN"/>
        </w:rPr>
        <w:t>数据中心特性工况点下的测试数据</w:t>
      </w:r>
    </w:p>
    <w:tbl>
      <w:tblPr>
        <w:tblStyle w:val="12"/>
        <w:tblW w:w="526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82"/>
        <w:gridCol w:w="1332"/>
        <w:gridCol w:w="1369"/>
        <w:gridCol w:w="1369"/>
        <w:gridCol w:w="1369"/>
        <w:gridCol w:w="1369"/>
        <w:gridCol w:w="13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tblHeader/>
          <w:jc w:val="center"/>
        </w:trPr>
        <w:tc>
          <w:tcPr>
            <w:tcW w:w="332" w:type="pct"/>
            <w:vMerge w:val="restart"/>
            <w:tcBorders>
              <w:top w:val="single" w:color="auto" w:sz="8" w:space="0"/>
            </w:tcBorders>
            <w:noWrap w:val="0"/>
            <w:vAlign w:val="center"/>
          </w:tcPr>
          <w:p>
            <w:pPr>
              <w:pStyle w:val="17"/>
              <w:bidi w:val="0"/>
              <w:rPr>
                <w:b/>
                <w:bCs/>
              </w:rPr>
            </w:pPr>
            <w:r>
              <w:rPr>
                <w:rFonts w:hint="eastAsia"/>
                <w:b/>
                <w:bCs/>
              </w:rPr>
              <w:t>序号</w:t>
            </w:r>
          </w:p>
        </w:tc>
        <w:tc>
          <w:tcPr>
            <w:tcW w:w="760" w:type="pct"/>
            <w:vMerge w:val="restart"/>
            <w:tcBorders>
              <w:top w:val="single" w:color="auto" w:sz="8" w:space="0"/>
            </w:tcBorders>
            <w:noWrap w:val="0"/>
            <w:vAlign w:val="center"/>
          </w:tcPr>
          <w:p>
            <w:pPr>
              <w:pStyle w:val="17"/>
              <w:bidi w:val="0"/>
              <w:rPr>
                <w:b/>
                <w:bCs/>
              </w:rPr>
            </w:pPr>
            <w:r>
              <w:rPr>
                <w:rFonts w:hint="eastAsia"/>
                <w:b/>
                <w:bCs/>
              </w:rPr>
              <w:t>参数</w:t>
            </w:r>
          </w:p>
        </w:tc>
        <w:tc>
          <w:tcPr>
            <w:tcW w:w="781" w:type="pct"/>
            <w:noWrap w:val="0"/>
            <w:vAlign w:val="center"/>
          </w:tcPr>
          <w:p>
            <w:pPr>
              <w:pStyle w:val="17"/>
              <w:bidi w:val="0"/>
              <w:jc w:val="center"/>
              <w:rPr>
                <w:b/>
                <w:bCs/>
              </w:rPr>
            </w:pPr>
            <w:r>
              <w:rPr>
                <w:b/>
                <w:bCs/>
              </w:rPr>
              <w:t>a</w:t>
            </w:r>
            <w:r>
              <w:rPr>
                <w:rFonts w:hint="eastAsia"/>
                <w:b/>
                <w:bCs/>
              </w:rPr>
              <w:t>工况采集时间</w:t>
            </w:r>
          </w:p>
        </w:tc>
        <w:tc>
          <w:tcPr>
            <w:tcW w:w="781" w:type="pct"/>
            <w:noWrap w:val="0"/>
            <w:vAlign w:val="center"/>
          </w:tcPr>
          <w:p>
            <w:pPr>
              <w:pStyle w:val="17"/>
              <w:bidi w:val="0"/>
              <w:jc w:val="center"/>
              <w:rPr>
                <w:b/>
                <w:bCs/>
              </w:rPr>
            </w:pPr>
            <w:r>
              <w:rPr>
                <w:b/>
                <w:bCs/>
              </w:rPr>
              <w:t>b</w:t>
            </w:r>
            <w:r>
              <w:rPr>
                <w:rFonts w:hint="eastAsia"/>
                <w:b/>
                <w:bCs/>
              </w:rPr>
              <w:t>工况采集时间</w:t>
            </w:r>
          </w:p>
        </w:tc>
        <w:tc>
          <w:tcPr>
            <w:tcW w:w="781" w:type="pct"/>
            <w:noWrap w:val="0"/>
            <w:vAlign w:val="center"/>
          </w:tcPr>
          <w:p>
            <w:pPr>
              <w:pStyle w:val="17"/>
              <w:bidi w:val="0"/>
              <w:jc w:val="center"/>
              <w:rPr>
                <w:b/>
                <w:bCs/>
              </w:rPr>
            </w:pPr>
            <w:r>
              <w:rPr>
                <w:b/>
                <w:bCs/>
              </w:rPr>
              <w:t>c</w:t>
            </w:r>
            <w:r>
              <w:rPr>
                <w:rFonts w:hint="eastAsia"/>
                <w:b/>
                <w:bCs/>
              </w:rPr>
              <w:t>工况采集时间</w:t>
            </w:r>
          </w:p>
        </w:tc>
        <w:tc>
          <w:tcPr>
            <w:tcW w:w="781" w:type="pct"/>
            <w:noWrap w:val="0"/>
            <w:vAlign w:val="center"/>
          </w:tcPr>
          <w:p>
            <w:pPr>
              <w:pStyle w:val="17"/>
              <w:bidi w:val="0"/>
              <w:jc w:val="center"/>
              <w:rPr>
                <w:b/>
                <w:bCs/>
              </w:rPr>
            </w:pPr>
            <w:r>
              <w:rPr>
                <w:b/>
                <w:bCs/>
              </w:rPr>
              <w:t>d</w:t>
            </w:r>
            <w:r>
              <w:rPr>
                <w:rFonts w:hint="eastAsia"/>
                <w:b/>
                <w:bCs/>
              </w:rPr>
              <w:t>工况采集时间</w:t>
            </w:r>
          </w:p>
        </w:tc>
        <w:tc>
          <w:tcPr>
            <w:tcW w:w="782" w:type="pct"/>
            <w:noWrap w:val="0"/>
            <w:vAlign w:val="center"/>
          </w:tcPr>
          <w:p>
            <w:pPr>
              <w:pStyle w:val="17"/>
              <w:bidi w:val="0"/>
              <w:jc w:val="center"/>
              <w:rPr>
                <w:b/>
                <w:bCs/>
              </w:rPr>
            </w:pPr>
            <w:r>
              <w:rPr>
                <w:b/>
                <w:bCs/>
              </w:rPr>
              <w:t>e</w:t>
            </w:r>
            <w:r>
              <w:rPr>
                <w:rFonts w:hint="eastAsia"/>
                <w:b/>
                <w:bCs/>
              </w:rPr>
              <w:t>工况采集时间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32" w:type="pct"/>
            <w:vMerge w:val="continue"/>
            <w:noWrap w:val="0"/>
            <w:vAlign w:val="center"/>
          </w:tcPr>
          <w:p>
            <w:pPr>
              <w:pStyle w:val="17"/>
              <w:bidi w:val="0"/>
              <w:rPr>
                <w:b/>
                <w:bCs/>
              </w:rPr>
            </w:pPr>
          </w:p>
        </w:tc>
        <w:tc>
          <w:tcPr>
            <w:tcW w:w="760" w:type="pct"/>
            <w:vMerge w:val="continue"/>
            <w:noWrap w:val="0"/>
            <w:vAlign w:val="center"/>
          </w:tcPr>
          <w:p>
            <w:pPr>
              <w:pStyle w:val="17"/>
              <w:bidi w:val="0"/>
              <w:rPr>
                <w:b/>
                <w:bCs/>
              </w:rPr>
            </w:pPr>
          </w:p>
        </w:tc>
        <w:tc>
          <w:tcPr>
            <w:tcW w:w="781" w:type="pct"/>
            <w:tcBorders>
              <w:top w:val="single" w:color="auto" w:sz="8" w:space="0"/>
            </w:tcBorders>
            <w:noWrap w:val="0"/>
            <w:vAlign w:val="center"/>
          </w:tcPr>
          <w:p>
            <w:pPr>
              <w:pStyle w:val="17"/>
              <w:bidi w:val="0"/>
              <w:jc w:val="center"/>
              <w:rPr>
                <w:b/>
                <w:bCs/>
              </w:rPr>
            </w:pPr>
            <w:r>
              <w:rPr>
                <w:rFonts w:hint="eastAsia"/>
                <w:b/>
                <w:bCs/>
              </w:rPr>
              <w:t>20</w:t>
            </w:r>
            <w:r>
              <w:rPr>
                <w:rFonts w:hint="eastAsia"/>
                <w:b/>
                <w:bCs/>
                <w:lang w:val="en-US" w:eastAsia="zh-CN"/>
              </w:rPr>
              <w:t>19.</w:t>
            </w:r>
            <w:r>
              <w:rPr>
                <w:rFonts w:hint="eastAsia"/>
                <w:b/>
                <w:bCs/>
              </w:rPr>
              <w:t>07.21 00:00:00~20</w:t>
            </w:r>
            <w:r>
              <w:rPr>
                <w:rFonts w:hint="eastAsia"/>
                <w:b/>
                <w:bCs/>
                <w:lang w:val="en-US" w:eastAsia="zh-CN"/>
              </w:rPr>
              <w:t>19</w:t>
            </w:r>
            <w:r>
              <w:rPr>
                <w:rFonts w:hint="eastAsia"/>
                <w:b/>
                <w:bCs/>
              </w:rPr>
              <w:t>.07.22 00:00:00</w:t>
            </w:r>
          </w:p>
        </w:tc>
        <w:tc>
          <w:tcPr>
            <w:tcW w:w="781" w:type="pct"/>
            <w:tcBorders>
              <w:top w:val="single" w:color="auto" w:sz="8" w:space="0"/>
            </w:tcBorders>
            <w:noWrap w:val="0"/>
            <w:vAlign w:val="center"/>
          </w:tcPr>
          <w:p>
            <w:pPr>
              <w:pStyle w:val="17"/>
              <w:bidi w:val="0"/>
              <w:jc w:val="center"/>
              <w:rPr>
                <w:b/>
                <w:bCs/>
              </w:rPr>
            </w:pPr>
            <w:r>
              <w:rPr>
                <w:rFonts w:hint="eastAsia"/>
                <w:b/>
                <w:bCs/>
              </w:rPr>
              <w:t>20</w:t>
            </w:r>
            <w:r>
              <w:rPr>
                <w:rFonts w:hint="eastAsia"/>
                <w:b/>
                <w:bCs/>
                <w:lang w:val="en-US" w:eastAsia="zh-CN"/>
              </w:rPr>
              <w:t>19</w:t>
            </w:r>
            <w:r>
              <w:rPr>
                <w:rFonts w:hint="eastAsia"/>
                <w:b/>
                <w:bCs/>
              </w:rPr>
              <w:t>.07.10 00:00:00~20</w:t>
            </w:r>
            <w:r>
              <w:rPr>
                <w:rFonts w:hint="eastAsia"/>
                <w:b/>
                <w:bCs/>
                <w:lang w:val="en-US" w:eastAsia="zh-CN"/>
              </w:rPr>
              <w:t>19</w:t>
            </w:r>
            <w:r>
              <w:rPr>
                <w:rFonts w:hint="eastAsia"/>
                <w:b/>
                <w:bCs/>
              </w:rPr>
              <w:t>.07.11 00:00:00</w:t>
            </w:r>
          </w:p>
        </w:tc>
        <w:tc>
          <w:tcPr>
            <w:tcW w:w="781" w:type="pct"/>
            <w:tcBorders>
              <w:top w:val="single" w:color="auto" w:sz="8" w:space="0"/>
            </w:tcBorders>
            <w:noWrap w:val="0"/>
            <w:vAlign w:val="center"/>
          </w:tcPr>
          <w:p>
            <w:pPr>
              <w:pStyle w:val="17"/>
              <w:bidi w:val="0"/>
              <w:jc w:val="center"/>
              <w:rPr>
                <w:b/>
                <w:bCs/>
              </w:rPr>
            </w:pPr>
            <w:r>
              <w:rPr>
                <w:rFonts w:hint="eastAsia"/>
                <w:b/>
                <w:bCs/>
              </w:rPr>
              <w:t>20</w:t>
            </w:r>
            <w:r>
              <w:rPr>
                <w:rFonts w:hint="eastAsia"/>
                <w:b/>
                <w:bCs/>
                <w:lang w:val="en-US" w:eastAsia="zh-CN"/>
              </w:rPr>
              <w:t>19</w:t>
            </w:r>
            <w:r>
              <w:rPr>
                <w:rFonts w:hint="eastAsia"/>
                <w:b/>
                <w:bCs/>
              </w:rPr>
              <w:t>.11.04 00:00:00~20</w:t>
            </w:r>
            <w:r>
              <w:rPr>
                <w:rFonts w:hint="eastAsia"/>
                <w:b/>
                <w:bCs/>
                <w:lang w:val="en-US" w:eastAsia="zh-CN"/>
              </w:rPr>
              <w:t>19</w:t>
            </w:r>
            <w:r>
              <w:rPr>
                <w:rFonts w:hint="eastAsia"/>
                <w:b/>
                <w:bCs/>
              </w:rPr>
              <w:t>.11.05 00:00:00</w:t>
            </w:r>
          </w:p>
        </w:tc>
        <w:tc>
          <w:tcPr>
            <w:tcW w:w="781" w:type="pct"/>
            <w:tcBorders>
              <w:top w:val="single" w:color="auto" w:sz="8" w:space="0"/>
            </w:tcBorders>
            <w:noWrap w:val="0"/>
            <w:vAlign w:val="center"/>
          </w:tcPr>
          <w:p>
            <w:pPr>
              <w:pStyle w:val="17"/>
              <w:bidi w:val="0"/>
              <w:jc w:val="center"/>
              <w:rPr>
                <w:b/>
                <w:bCs/>
              </w:rPr>
            </w:pPr>
            <w:r>
              <w:rPr>
                <w:rFonts w:hint="eastAsia"/>
                <w:b/>
                <w:bCs/>
              </w:rPr>
              <w:t>202</w:t>
            </w:r>
            <w:r>
              <w:rPr>
                <w:rFonts w:hint="eastAsia"/>
                <w:b/>
                <w:bCs/>
                <w:lang w:val="en-US" w:eastAsia="zh-CN"/>
              </w:rPr>
              <w:t>0</w:t>
            </w:r>
            <w:r>
              <w:rPr>
                <w:rFonts w:hint="eastAsia"/>
                <w:b/>
                <w:bCs/>
              </w:rPr>
              <w:t>.01.08 00:00:00~202</w:t>
            </w:r>
            <w:r>
              <w:rPr>
                <w:rFonts w:hint="eastAsia"/>
                <w:b/>
                <w:bCs/>
                <w:lang w:val="en-US" w:eastAsia="zh-CN"/>
              </w:rPr>
              <w:t>0.</w:t>
            </w:r>
            <w:r>
              <w:rPr>
                <w:rFonts w:hint="eastAsia"/>
                <w:b/>
                <w:bCs/>
              </w:rPr>
              <w:t>01.09 00:00:00</w:t>
            </w:r>
          </w:p>
        </w:tc>
        <w:tc>
          <w:tcPr>
            <w:tcW w:w="782" w:type="pct"/>
            <w:tcBorders>
              <w:top w:val="single" w:color="auto" w:sz="8" w:space="0"/>
            </w:tcBorders>
            <w:noWrap w:val="0"/>
            <w:vAlign w:val="center"/>
          </w:tcPr>
          <w:p>
            <w:pPr>
              <w:pStyle w:val="17"/>
              <w:bidi w:val="0"/>
              <w:jc w:val="center"/>
              <w:rPr>
                <w:b/>
                <w:bCs/>
              </w:rPr>
            </w:pPr>
            <w:r>
              <w:rPr>
                <w:rFonts w:hint="eastAsia"/>
                <w:b/>
                <w:bCs/>
              </w:rPr>
              <w:t>20</w:t>
            </w:r>
            <w:r>
              <w:rPr>
                <w:rFonts w:hint="eastAsia"/>
                <w:b/>
                <w:bCs/>
                <w:lang w:val="en-US" w:eastAsia="zh-CN"/>
              </w:rPr>
              <w:t>19</w:t>
            </w:r>
            <w:r>
              <w:rPr>
                <w:rFonts w:hint="eastAsia"/>
                <w:b/>
                <w:bCs/>
              </w:rPr>
              <w:t>.12.14 00:00:00~20</w:t>
            </w:r>
            <w:r>
              <w:rPr>
                <w:rFonts w:hint="eastAsia"/>
                <w:b/>
                <w:bCs/>
                <w:lang w:val="en-US" w:eastAsia="zh-CN"/>
              </w:rPr>
              <w:t>19.</w:t>
            </w:r>
            <w:r>
              <w:rPr>
                <w:rFonts w:hint="eastAsia"/>
                <w:b/>
                <w:bCs/>
              </w:rPr>
              <w:t>12.15 00:00:00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32" w:type="pct"/>
            <w:noWrap w:val="0"/>
            <w:vAlign w:val="center"/>
          </w:tcPr>
          <w:p>
            <w:pPr>
              <w:pStyle w:val="17"/>
              <w:bidi w:val="0"/>
            </w:pPr>
            <w:r>
              <w:rPr>
                <w:rFonts w:hint="eastAsia"/>
              </w:rPr>
              <w:t>1</w:t>
            </w:r>
          </w:p>
        </w:tc>
        <w:tc>
          <w:tcPr>
            <w:tcW w:w="760" w:type="pct"/>
            <w:noWrap w:val="0"/>
            <w:vAlign w:val="center"/>
          </w:tcPr>
          <w:p>
            <w:pPr>
              <w:pStyle w:val="17"/>
              <w:bidi w:val="0"/>
            </w:pPr>
            <w:r>
              <w:rPr>
                <w:rFonts w:hint="eastAsia"/>
              </w:rPr>
              <w:t>数据中心外侧干球温度（℃）</w:t>
            </w:r>
          </w:p>
        </w:tc>
        <w:tc>
          <w:tcPr>
            <w:tcW w:w="781" w:type="pct"/>
            <w:noWrap w:val="0"/>
            <w:vAlign w:val="center"/>
          </w:tcPr>
          <w:p>
            <w:pPr>
              <w:pStyle w:val="17"/>
              <w:bidi w:val="0"/>
              <w:jc w:val="center"/>
            </w:pPr>
            <w:r>
              <w:rPr>
                <w:rFonts w:hint="eastAsia"/>
              </w:rPr>
              <w:t>34.98</w:t>
            </w:r>
          </w:p>
        </w:tc>
        <w:tc>
          <w:tcPr>
            <w:tcW w:w="781" w:type="pct"/>
            <w:noWrap w:val="0"/>
            <w:vAlign w:val="center"/>
          </w:tcPr>
          <w:p>
            <w:pPr>
              <w:pStyle w:val="17"/>
              <w:bidi w:val="0"/>
              <w:jc w:val="center"/>
            </w:pPr>
            <w:r>
              <w:rPr>
                <w:rFonts w:hint="eastAsia"/>
              </w:rPr>
              <w:t>25.19</w:t>
            </w:r>
          </w:p>
        </w:tc>
        <w:tc>
          <w:tcPr>
            <w:tcW w:w="781" w:type="pct"/>
            <w:noWrap w:val="0"/>
            <w:vAlign w:val="center"/>
          </w:tcPr>
          <w:p>
            <w:pPr>
              <w:pStyle w:val="17"/>
              <w:bidi w:val="0"/>
              <w:jc w:val="center"/>
            </w:pPr>
            <w:r>
              <w:rPr>
                <w:rFonts w:hint="eastAsia"/>
              </w:rPr>
              <w:t>14.79</w:t>
            </w:r>
          </w:p>
        </w:tc>
        <w:tc>
          <w:tcPr>
            <w:tcW w:w="781" w:type="pct"/>
            <w:noWrap w:val="0"/>
            <w:vAlign w:val="center"/>
          </w:tcPr>
          <w:p>
            <w:pPr>
              <w:pStyle w:val="17"/>
              <w:bidi w:val="0"/>
              <w:jc w:val="center"/>
            </w:pPr>
            <w:r>
              <w:rPr>
                <w:rFonts w:hint="eastAsia"/>
              </w:rPr>
              <w:t>5.32</w:t>
            </w:r>
          </w:p>
        </w:tc>
        <w:tc>
          <w:tcPr>
            <w:tcW w:w="782" w:type="pct"/>
            <w:noWrap w:val="0"/>
            <w:vAlign w:val="center"/>
          </w:tcPr>
          <w:p>
            <w:pPr>
              <w:pStyle w:val="17"/>
              <w:bidi w:val="0"/>
              <w:jc w:val="center"/>
            </w:pPr>
            <w:r>
              <w:rPr>
                <w:rFonts w:hint="eastAsia"/>
              </w:rPr>
              <w:t>-1.05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32" w:type="pct"/>
            <w:noWrap w:val="0"/>
            <w:vAlign w:val="center"/>
          </w:tcPr>
          <w:p>
            <w:pPr>
              <w:pStyle w:val="17"/>
              <w:bidi w:val="0"/>
            </w:pPr>
            <w:r>
              <w:rPr>
                <w:rFonts w:hint="eastAsia"/>
              </w:rPr>
              <w:t>2</w:t>
            </w:r>
          </w:p>
        </w:tc>
        <w:tc>
          <w:tcPr>
            <w:tcW w:w="760" w:type="pct"/>
            <w:noWrap w:val="0"/>
            <w:vAlign w:val="center"/>
          </w:tcPr>
          <w:p>
            <w:pPr>
              <w:pStyle w:val="17"/>
              <w:bidi w:val="0"/>
            </w:pPr>
            <w:r>
              <w:rPr>
                <w:rFonts w:hint="eastAsia"/>
              </w:rPr>
              <w:t>数据中心外侧湿球温度（℃）</w:t>
            </w:r>
          </w:p>
        </w:tc>
        <w:tc>
          <w:tcPr>
            <w:tcW w:w="781" w:type="pct"/>
            <w:noWrap w:val="0"/>
            <w:vAlign w:val="center"/>
          </w:tcPr>
          <w:p>
            <w:pPr>
              <w:pStyle w:val="17"/>
              <w:bidi w:val="0"/>
              <w:jc w:val="center"/>
            </w:pPr>
            <w:r>
              <w:rPr>
                <w:rFonts w:hint="eastAsia"/>
              </w:rPr>
              <w:t>30.04</w:t>
            </w:r>
          </w:p>
        </w:tc>
        <w:tc>
          <w:tcPr>
            <w:tcW w:w="781" w:type="pct"/>
            <w:noWrap w:val="0"/>
            <w:vAlign w:val="center"/>
          </w:tcPr>
          <w:p>
            <w:pPr>
              <w:pStyle w:val="17"/>
              <w:bidi w:val="0"/>
              <w:jc w:val="center"/>
            </w:pPr>
            <w:r>
              <w:rPr>
                <w:rFonts w:hint="eastAsia"/>
              </w:rPr>
              <w:t>21.14</w:t>
            </w:r>
          </w:p>
        </w:tc>
        <w:tc>
          <w:tcPr>
            <w:tcW w:w="781" w:type="pct"/>
            <w:noWrap w:val="0"/>
            <w:vAlign w:val="center"/>
          </w:tcPr>
          <w:p>
            <w:pPr>
              <w:pStyle w:val="17"/>
              <w:bidi w:val="0"/>
              <w:jc w:val="center"/>
            </w:pPr>
            <w:r>
              <w:rPr>
                <w:rFonts w:hint="eastAsia"/>
              </w:rPr>
              <w:t>12.27</w:t>
            </w:r>
          </w:p>
        </w:tc>
        <w:tc>
          <w:tcPr>
            <w:tcW w:w="781" w:type="pct"/>
            <w:noWrap w:val="0"/>
            <w:vAlign w:val="center"/>
          </w:tcPr>
          <w:p>
            <w:pPr>
              <w:pStyle w:val="17"/>
              <w:bidi w:val="0"/>
              <w:jc w:val="center"/>
            </w:pPr>
            <w:r>
              <w:rPr>
                <w:rFonts w:hint="eastAsia"/>
              </w:rPr>
              <w:t>3.89</w:t>
            </w:r>
          </w:p>
        </w:tc>
        <w:tc>
          <w:tcPr>
            <w:tcW w:w="782" w:type="pct"/>
            <w:noWrap w:val="0"/>
            <w:vAlign w:val="center"/>
          </w:tcPr>
          <w:p>
            <w:pPr>
              <w:pStyle w:val="17"/>
              <w:bidi w:val="0"/>
              <w:jc w:val="center"/>
            </w:pPr>
            <w:r>
              <w:rPr>
                <w:rFonts w:hint="eastAsia"/>
              </w:rPr>
              <w:t>-2.13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32" w:type="pct"/>
            <w:noWrap w:val="0"/>
            <w:vAlign w:val="center"/>
          </w:tcPr>
          <w:p>
            <w:pPr>
              <w:pStyle w:val="17"/>
              <w:bidi w:val="0"/>
            </w:pPr>
            <w:r>
              <w:rPr>
                <w:rFonts w:hint="eastAsia"/>
              </w:rPr>
              <w:t>3</w:t>
            </w:r>
          </w:p>
        </w:tc>
        <w:tc>
          <w:tcPr>
            <w:tcW w:w="760" w:type="pct"/>
            <w:noWrap w:val="0"/>
            <w:vAlign w:val="center"/>
          </w:tcPr>
          <w:p>
            <w:pPr>
              <w:pStyle w:val="17"/>
              <w:bidi w:val="0"/>
            </w:pPr>
            <w:r>
              <w:t>数据中心内侧干球温度</w:t>
            </w:r>
            <w:r>
              <w:rPr>
                <w:rFonts w:hint="eastAsia"/>
              </w:rPr>
              <w:t>（℃）</w:t>
            </w:r>
          </w:p>
        </w:tc>
        <w:tc>
          <w:tcPr>
            <w:tcW w:w="781" w:type="pct"/>
            <w:noWrap w:val="0"/>
            <w:vAlign w:val="center"/>
          </w:tcPr>
          <w:p>
            <w:pPr>
              <w:pStyle w:val="17"/>
              <w:bidi w:val="0"/>
              <w:jc w:val="center"/>
            </w:pPr>
            <w:r>
              <w:rPr>
                <w:rFonts w:hint="eastAsia"/>
              </w:rPr>
              <w:t>24.16</w:t>
            </w:r>
          </w:p>
        </w:tc>
        <w:tc>
          <w:tcPr>
            <w:tcW w:w="781" w:type="pct"/>
            <w:noWrap w:val="0"/>
            <w:vAlign w:val="center"/>
          </w:tcPr>
          <w:p>
            <w:pPr>
              <w:pStyle w:val="17"/>
              <w:bidi w:val="0"/>
              <w:jc w:val="center"/>
            </w:pPr>
            <w:r>
              <w:rPr>
                <w:rFonts w:hint="eastAsia"/>
              </w:rPr>
              <w:t>23.79</w:t>
            </w:r>
          </w:p>
        </w:tc>
        <w:tc>
          <w:tcPr>
            <w:tcW w:w="781" w:type="pct"/>
            <w:noWrap w:val="0"/>
            <w:vAlign w:val="center"/>
          </w:tcPr>
          <w:p>
            <w:pPr>
              <w:pStyle w:val="17"/>
              <w:bidi w:val="0"/>
              <w:jc w:val="center"/>
            </w:pPr>
            <w:r>
              <w:rPr>
                <w:rFonts w:hint="eastAsia"/>
              </w:rPr>
              <w:t>24.10</w:t>
            </w:r>
          </w:p>
        </w:tc>
        <w:tc>
          <w:tcPr>
            <w:tcW w:w="781" w:type="pct"/>
            <w:noWrap w:val="0"/>
            <w:vAlign w:val="center"/>
          </w:tcPr>
          <w:p>
            <w:pPr>
              <w:pStyle w:val="17"/>
              <w:bidi w:val="0"/>
              <w:jc w:val="center"/>
            </w:pPr>
            <w:r>
              <w:rPr>
                <w:rFonts w:hint="eastAsia"/>
              </w:rPr>
              <w:t>23.89</w:t>
            </w:r>
          </w:p>
        </w:tc>
        <w:tc>
          <w:tcPr>
            <w:tcW w:w="782" w:type="pct"/>
            <w:noWrap w:val="0"/>
            <w:vAlign w:val="center"/>
          </w:tcPr>
          <w:p>
            <w:pPr>
              <w:pStyle w:val="17"/>
              <w:bidi w:val="0"/>
              <w:jc w:val="center"/>
            </w:pPr>
            <w:r>
              <w:rPr>
                <w:rFonts w:hint="eastAsia"/>
              </w:rPr>
              <w:t>23.88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32" w:type="pct"/>
            <w:noWrap w:val="0"/>
            <w:vAlign w:val="center"/>
          </w:tcPr>
          <w:p>
            <w:pPr>
              <w:pStyle w:val="17"/>
              <w:bidi w:val="0"/>
            </w:pPr>
            <w:r>
              <w:rPr>
                <w:rFonts w:hint="eastAsia"/>
              </w:rPr>
              <w:t>4</w:t>
            </w:r>
          </w:p>
        </w:tc>
        <w:tc>
          <w:tcPr>
            <w:tcW w:w="760" w:type="pct"/>
            <w:noWrap w:val="0"/>
            <w:vAlign w:val="center"/>
          </w:tcPr>
          <w:p>
            <w:pPr>
              <w:pStyle w:val="17"/>
              <w:bidi w:val="0"/>
            </w:pPr>
            <w:r>
              <w:t>数据中心内侧</w:t>
            </w:r>
            <w:r>
              <w:rPr>
                <w:rFonts w:hint="eastAsia"/>
              </w:rPr>
              <w:t>湿</w:t>
            </w:r>
            <w:r>
              <w:t>球温度</w:t>
            </w:r>
            <w:r>
              <w:rPr>
                <w:rFonts w:hint="eastAsia"/>
              </w:rPr>
              <w:t>（℃）</w:t>
            </w:r>
          </w:p>
        </w:tc>
        <w:tc>
          <w:tcPr>
            <w:tcW w:w="781" w:type="pct"/>
            <w:noWrap w:val="0"/>
            <w:vAlign w:val="center"/>
          </w:tcPr>
          <w:p>
            <w:pPr>
              <w:pStyle w:val="17"/>
              <w:bidi w:val="0"/>
              <w:jc w:val="center"/>
            </w:pPr>
            <w:r>
              <w:rPr>
                <w:rFonts w:hint="eastAsia"/>
              </w:rPr>
              <w:t>17.98</w:t>
            </w:r>
          </w:p>
        </w:tc>
        <w:tc>
          <w:tcPr>
            <w:tcW w:w="781" w:type="pct"/>
            <w:noWrap w:val="0"/>
            <w:vAlign w:val="center"/>
          </w:tcPr>
          <w:p>
            <w:pPr>
              <w:pStyle w:val="17"/>
              <w:bidi w:val="0"/>
              <w:jc w:val="center"/>
            </w:pPr>
            <w:r>
              <w:rPr>
                <w:rFonts w:hint="eastAsia"/>
              </w:rPr>
              <w:t>16.89</w:t>
            </w:r>
          </w:p>
        </w:tc>
        <w:tc>
          <w:tcPr>
            <w:tcW w:w="781" w:type="pct"/>
            <w:noWrap w:val="0"/>
            <w:vAlign w:val="center"/>
          </w:tcPr>
          <w:p>
            <w:pPr>
              <w:pStyle w:val="17"/>
              <w:bidi w:val="0"/>
              <w:jc w:val="center"/>
            </w:pPr>
            <w:r>
              <w:rPr>
                <w:rFonts w:hint="eastAsia"/>
              </w:rPr>
              <w:t>17.99</w:t>
            </w:r>
          </w:p>
        </w:tc>
        <w:tc>
          <w:tcPr>
            <w:tcW w:w="781" w:type="pct"/>
            <w:noWrap w:val="0"/>
            <w:vAlign w:val="center"/>
          </w:tcPr>
          <w:p>
            <w:pPr>
              <w:pStyle w:val="17"/>
              <w:bidi w:val="0"/>
              <w:jc w:val="center"/>
            </w:pPr>
            <w:r>
              <w:rPr>
                <w:rFonts w:hint="eastAsia"/>
              </w:rPr>
              <w:t>17.75</w:t>
            </w:r>
          </w:p>
        </w:tc>
        <w:tc>
          <w:tcPr>
            <w:tcW w:w="782" w:type="pct"/>
            <w:noWrap w:val="0"/>
            <w:vAlign w:val="center"/>
          </w:tcPr>
          <w:p>
            <w:pPr>
              <w:pStyle w:val="17"/>
              <w:bidi w:val="0"/>
              <w:jc w:val="center"/>
            </w:pPr>
            <w:r>
              <w:rPr>
                <w:rFonts w:hint="eastAsia"/>
              </w:rPr>
              <w:t>17.85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32" w:type="pct"/>
            <w:noWrap w:val="0"/>
            <w:vAlign w:val="center"/>
          </w:tcPr>
          <w:p>
            <w:pPr>
              <w:pStyle w:val="17"/>
              <w:bidi w:val="0"/>
            </w:pPr>
            <w:r>
              <w:rPr>
                <w:rFonts w:hint="eastAsia"/>
              </w:rPr>
              <w:t>5</w:t>
            </w:r>
          </w:p>
        </w:tc>
        <w:tc>
          <w:tcPr>
            <w:tcW w:w="760" w:type="pct"/>
            <w:noWrap w:val="0"/>
            <w:vAlign w:val="center"/>
          </w:tcPr>
          <w:p>
            <w:pPr>
              <w:pStyle w:val="17"/>
              <w:bidi w:val="0"/>
            </w:pPr>
            <w:r>
              <w:t>数据中心信息设备实际运行负载</w:t>
            </w:r>
            <w:r>
              <w:rPr>
                <w:rFonts w:hint="eastAsia"/>
              </w:rPr>
              <w:t>（%）</w:t>
            </w:r>
          </w:p>
        </w:tc>
        <w:tc>
          <w:tcPr>
            <w:tcW w:w="781" w:type="pct"/>
            <w:noWrap w:val="0"/>
            <w:vAlign w:val="center"/>
          </w:tcPr>
          <w:p>
            <w:pPr>
              <w:pStyle w:val="17"/>
              <w:bidi w:val="0"/>
              <w:jc w:val="center"/>
            </w:pPr>
            <w:r>
              <w:rPr>
                <w:rFonts w:hint="eastAsia"/>
              </w:rPr>
              <w:t>75</w:t>
            </w:r>
          </w:p>
        </w:tc>
        <w:tc>
          <w:tcPr>
            <w:tcW w:w="781" w:type="pct"/>
            <w:noWrap w:val="0"/>
            <w:vAlign w:val="center"/>
          </w:tcPr>
          <w:p>
            <w:pPr>
              <w:pStyle w:val="17"/>
              <w:bidi w:val="0"/>
              <w:jc w:val="center"/>
            </w:pPr>
            <w:r>
              <w:rPr>
                <w:rFonts w:hint="eastAsia"/>
              </w:rPr>
              <w:t>75</w:t>
            </w:r>
          </w:p>
        </w:tc>
        <w:tc>
          <w:tcPr>
            <w:tcW w:w="781" w:type="pct"/>
            <w:noWrap w:val="0"/>
            <w:vAlign w:val="center"/>
          </w:tcPr>
          <w:p>
            <w:pPr>
              <w:pStyle w:val="17"/>
              <w:bidi w:val="0"/>
              <w:jc w:val="center"/>
            </w:pPr>
            <w:r>
              <w:rPr>
                <w:rFonts w:hint="eastAsia"/>
              </w:rPr>
              <w:t>74</w:t>
            </w:r>
          </w:p>
        </w:tc>
        <w:tc>
          <w:tcPr>
            <w:tcW w:w="781" w:type="pct"/>
            <w:noWrap w:val="0"/>
            <w:vAlign w:val="center"/>
          </w:tcPr>
          <w:p>
            <w:pPr>
              <w:pStyle w:val="17"/>
              <w:bidi w:val="0"/>
              <w:jc w:val="center"/>
            </w:pPr>
            <w:r>
              <w:rPr>
                <w:rFonts w:hint="eastAsia"/>
              </w:rPr>
              <w:t>75</w:t>
            </w:r>
          </w:p>
        </w:tc>
        <w:tc>
          <w:tcPr>
            <w:tcW w:w="782" w:type="pct"/>
            <w:noWrap w:val="0"/>
            <w:vAlign w:val="center"/>
          </w:tcPr>
          <w:p>
            <w:pPr>
              <w:pStyle w:val="17"/>
              <w:bidi w:val="0"/>
              <w:jc w:val="center"/>
            </w:pPr>
            <w:r>
              <w:rPr>
                <w:rFonts w:hint="eastAsia"/>
              </w:rPr>
              <w:t>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32" w:type="pct"/>
            <w:noWrap w:val="0"/>
            <w:vAlign w:val="top"/>
          </w:tcPr>
          <w:p>
            <w:pPr>
              <w:pStyle w:val="17"/>
              <w:bidi w:val="0"/>
            </w:pPr>
            <w:r>
              <w:rPr>
                <w:rFonts w:hint="eastAsia"/>
              </w:rPr>
              <w:t>6</w:t>
            </w:r>
          </w:p>
        </w:tc>
        <w:tc>
          <w:tcPr>
            <w:tcW w:w="760" w:type="pct"/>
            <w:noWrap w:val="0"/>
            <w:vAlign w:val="top"/>
          </w:tcPr>
          <w:p>
            <w:pPr>
              <w:pStyle w:val="17"/>
              <w:bidi w:val="0"/>
            </w:pPr>
            <w:r>
              <w:t>信息设备消耗功率</w:t>
            </w:r>
            <w:r>
              <w:rPr>
                <w:rFonts w:hint="eastAsia"/>
              </w:rPr>
              <w:t>（kW）</w:t>
            </w:r>
          </w:p>
        </w:tc>
        <w:tc>
          <w:tcPr>
            <w:tcW w:w="781" w:type="pct"/>
            <w:noWrap w:val="0"/>
            <w:vAlign w:val="center"/>
          </w:tcPr>
          <w:p>
            <w:pPr>
              <w:pStyle w:val="17"/>
              <w:bidi w:val="0"/>
              <w:jc w:val="center"/>
            </w:pPr>
            <w:r>
              <w:rPr>
                <w:rFonts w:hint="eastAsia"/>
              </w:rPr>
              <w:t>5177</w:t>
            </w:r>
          </w:p>
        </w:tc>
        <w:tc>
          <w:tcPr>
            <w:tcW w:w="781" w:type="pct"/>
            <w:noWrap w:val="0"/>
            <w:vAlign w:val="center"/>
          </w:tcPr>
          <w:p>
            <w:pPr>
              <w:pStyle w:val="17"/>
              <w:bidi w:val="0"/>
              <w:jc w:val="center"/>
            </w:pPr>
            <w:r>
              <w:rPr>
                <w:rFonts w:hint="eastAsia"/>
              </w:rPr>
              <w:t>5161</w:t>
            </w:r>
          </w:p>
        </w:tc>
        <w:tc>
          <w:tcPr>
            <w:tcW w:w="781" w:type="pct"/>
            <w:noWrap w:val="0"/>
            <w:vAlign w:val="center"/>
          </w:tcPr>
          <w:p>
            <w:pPr>
              <w:pStyle w:val="17"/>
              <w:bidi w:val="0"/>
              <w:jc w:val="center"/>
            </w:pPr>
            <w:r>
              <w:rPr>
                <w:rFonts w:hint="eastAsia"/>
              </w:rPr>
              <w:t>5144</w:t>
            </w:r>
          </w:p>
        </w:tc>
        <w:tc>
          <w:tcPr>
            <w:tcW w:w="781" w:type="pct"/>
            <w:noWrap w:val="0"/>
            <w:vAlign w:val="center"/>
          </w:tcPr>
          <w:p>
            <w:pPr>
              <w:pStyle w:val="17"/>
              <w:bidi w:val="0"/>
              <w:jc w:val="center"/>
            </w:pPr>
            <w:r>
              <w:rPr>
                <w:rFonts w:hint="eastAsia"/>
              </w:rPr>
              <w:t>5174</w:t>
            </w:r>
          </w:p>
        </w:tc>
        <w:tc>
          <w:tcPr>
            <w:tcW w:w="782" w:type="pct"/>
            <w:noWrap w:val="0"/>
            <w:vAlign w:val="center"/>
          </w:tcPr>
          <w:p>
            <w:pPr>
              <w:pStyle w:val="17"/>
              <w:bidi w:val="0"/>
              <w:jc w:val="center"/>
            </w:pPr>
            <w:r>
              <w:rPr>
                <w:rFonts w:hint="eastAsia"/>
              </w:rPr>
              <w:t>5065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32" w:type="pct"/>
            <w:noWrap w:val="0"/>
            <w:vAlign w:val="top"/>
          </w:tcPr>
          <w:p>
            <w:pPr>
              <w:pStyle w:val="17"/>
              <w:bidi w:val="0"/>
            </w:pPr>
            <w:r>
              <w:rPr>
                <w:rFonts w:hint="eastAsia"/>
              </w:rPr>
              <w:t>7</w:t>
            </w:r>
          </w:p>
        </w:tc>
        <w:tc>
          <w:tcPr>
            <w:tcW w:w="760" w:type="pct"/>
            <w:noWrap w:val="0"/>
            <w:vAlign w:val="top"/>
          </w:tcPr>
          <w:p>
            <w:pPr>
              <w:pStyle w:val="17"/>
              <w:bidi w:val="0"/>
            </w:pPr>
            <w:r>
              <w:t>数据中心总消耗功率</w:t>
            </w:r>
            <w:r>
              <w:rPr>
                <w:rFonts w:hint="eastAsia"/>
              </w:rPr>
              <w:t>（kW）</w:t>
            </w:r>
          </w:p>
        </w:tc>
        <w:tc>
          <w:tcPr>
            <w:tcW w:w="781" w:type="pct"/>
            <w:noWrap w:val="0"/>
            <w:vAlign w:val="center"/>
          </w:tcPr>
          <w:p>
            <w:pPr>
              <w:pStyle w:val="17"/>
              <w:bidi w:val="0"/>
              <w:jc w:val="center"/>
            </w:pPr>
            <w:r>
              <w:rPr>
                <w:rFonts w:hint="eastAsia"/>
              </w:rPr>
              <w:t>7392</w:t>
            </w:r>
          </w:p>
        </w:tc>
        <w:tc>
          <w:tcPr>
            <w:tcW w:w="781" w:type="pct"/>
            <w:noWrap w:val="0"/>
            <w:vAlign w:val="center"/>
          </w:tcPr>
          <w:p>
            <w:pPr>
              <w:pStyle w:val="17"/>
              <w:bidi w:val="0"/>
              <w:jc w:val="center"/>
            </w:pPr>
            <w:r>
              <w:rPr>
                <w:rFonts w:hint="eastAsia"/>
              </w:rPr>
              <w:t>7112</w:t>
            </w:r>
          </w:p>
        </w:tc>
        <w:tc>
          <w:tcPr>
            <w:tcW w:w="781" w:type="pct"/>
            <w:noWrap w:val="0"/>
            <w:vAlign w:val="center"/>
          </w:tcPr>
          <w:p>
            <w:pPr>
              <w:pStyle w:val="17"/>
              <w:bidi w:val="0"/>
              <w:jc w:val="center"/>
            </w:pPr>
            <w:r>
              <w:rPr>
                <w:rFonts w:hint="eastAsia"/>
              </w:rPr>
              <w:t>6656</w:t>
            </w:r>
          </w:p>
        </w:tc>
        <w:tc>
          <w:tcPr>
            <w:tcW w:w="781" w:type="pct"/>
            <w:noWrap w:val="0"/>
            <w:vAlign w:val="center"/>
          </w:tcPr>
          <w:p>
            <w:pPr>
              <w:pStyle w:val="17"/>
              <w:bidi w:val="0"/>
              <w:jc w:val="center"/>
            </w:pPr>
            <w:r>
              <w:rPr>
                <w:rFonts w:hint="eastAsia"/>
              </w:rPr>
              <w:t>6948</w:t>
            </w:r>
          </w:p>
        </w:tc>
        <w:tc>
          <w:tcPr>
            <w:tcW w:w="782" w:type="pct"/>
            <w:noWrap w:val="0"/>
            <w:vAlign w:val="center"/>
          </w:tcPr>
          <w:p>
            <w:pPr>
              <w:pStyle w:val="17"/>
              <w:bidi w:val="0"/>
              <w:jc w:val="center"/>
            </w:pPr>
            <w:r>
              <w:rPr>
                <w:rFonts w:hint="eastAsia"/>
              </w:rPr>
              <w:t>6252</w:t>
            </w:r>
          </w:p>
        </w:tc>
      </w:tr>
    </w:tbl>
    <w:p>
      <w:pPr>
        <w:bidi w:val="0"/>
      </w:pPr>
      <w:r>
        <w:rPr>
          <w:rFonts w:hint="eastAsia"/>
        </w:rPr>
        <w:t>依据公式（2）计算数据中心总电能消耗量：</w:t>
      </w:r>
    </w:p>
    <w:p>
      <w:pPr>
        <w:pStyle w:val="22"/>
      </w:pPr>
      <w:r>
        <w:tab/>
      </w:r>
      <m:oMath>
        <m:sSub>
          <m:sSubPr>
            <m:ctrlPr>
              <w:rPr>
                <w:rFonts w:hint="default" w:ascii="Cambria Math" w:hAnsi="Cambria Math"/>
              </w:rPr>
            </m:ctrlPr>
          </m:sSubPr>
          <m:e>
            <m:r>
              <m:rPr/>
              <w:rPr>
                <w:rFonts w:hint="default" w:ascii="Cambria Math" w:hAnsi="Cambria Math"/>
              </w:rPr>
              <m:t>E</m:t>
            </m:r>
            <m:ctrlPr>
              <w:rPr>
                <w:rFonts w:hint="default" w:ascii="Cambria Math" w:hAnsi="Cambria Math"/>
              </w:rPr>
            </m:ctrlPr>
          </m:e>
          <m:sub>
            <m:r>
              <m:rPr/>
              <w:rPr>
                <w:rFonts w:hint="default" w:ascii="Cambria Math" w:hAnsi="Cambria Math"/>
              </w:rPr>
              <m:t>C</m:t>
            </m:r>
            <m:ctrlPr>
              <w:rPr>
                <w:rFonts w:hint="default" w:ascii="Cambria Math" w:hAnsi="Cambria Math"/>
              </w:rPr>
            </m:ctrlPr>
          </m:sub>
        </m:sSub>
        <m:r>
          <m:rPr/>
          <w:rPr>
            <w:rFonts w:hint="default" w:ascii="Cambria Math" w:hAnsi="Cambria Math"/>
          </w:rPr>
          <m:t>=8760×0.084×</m:t>
        </m:r>
        <m:r>
          <m:rPr>
            <m:sty m:val="p"/>
          </m:rPr>
          <w:rPr>
            <w:rFonts w:hint="eastAsia" w:ascii="Cambria Math" w:hAnsi="Cambria Math"/>
          </w:rPr>
          <m:t>7392</m:t>
        </m:r>
        <m:r>
          <m:rPr/>
          <w:rPr>
            <w:rFonts w:hint="default" w:ascii="Cambria Math" w:hAnsi="Cambria Math"/>
          </w:rPr>
          <m:t>+8760×</m:t>
        </m:r>
        <m:r>
          <m:rPr>
            <m:sty m:val="p"/>
          </m:rPr>
          <w:rPr>
            <w:rFonts w:hint="eastAsia" w:ascii="Cambria Math" w:hAnsi="Cambria Math"/>
          </w:rPr>
          <m:t>0.341</m:t>
        </m:r>
        <m:r>
          <m:rPr/>
          <w:rPr>
            <w:rFonts w:hint="default" w:ascii="Cambria Math" w:hAnsi="Cambria Math"/>
          </w:rPr>
          <m:t>×</m:t>
        </m:r>
        <m:r>
          <m:rPr>
            <m:sty m:val="p"/>
          </m:rPr>
          <w:rPr>
            <w:rFonts w:hint="eastAsia" w:ascii="Cambria Math" w:hAnsi="Cambria Math"/>
          </w:rPr>
          <m:t>7112</m:t>
        </m:r>
        <m:r>
          <m:rPr/>
          <w:rPr>
            <w:rFonts w:hint="default" w:ascii="Cambria Math" w:hAnsi="Cambria Math"/>
          </w:rPr>
          <m:t>+8760×</m:t>
        </m:r>
        <m:r>
          <m:rPr>
            <m:sty m:val="p"/>
          </m:rPr>
          <w:rPr>
            <w:rFonts w:hint="eastAsia" w:ascii="Cambria Math" w:hAnsi="Cambria Math"/>
          </w:rPr>
          <m:t>0.288</m:t>
        </m:r>
        <m:r>
          <m:rPr/>
          <w:rPr>
            <w:rFonts w:hint="default" w:ascii="Cambria Math" w:hAnsi="Cambria Math"/>
          </w:rPr>
          <m:t>×</m:t>
        </m:r>
        <m:r>
          <m:rPr>
            <m:sty m:val="p"/>
          </m:rPr>
          <w:rPr>
            <w:rFonts w:hint="eastAsia" w:ascii="Cambria Math" w:hAnsi="Cambria Math"/>
          </w:rPr>
          <m:t>6656</m:t>
        </m:r>
        <m:r>
          <m:rPr/>
          <w:rPr>
            <w:rFonts w:hint="default" w:ascii="Cambria Math" w:hAnsi="Cambria Math"/>
          </w:rPr>
          <m:t>+8760×</m:t>
        </m:r>
        <m:r>
          <m:rPr>
            <m:sty m:val="p"/>
          </m:rPr>
          <w:rPr>
            <w:rFonts w:hint="eastAsia" w:ascii="Cambria Math" w:hAnsi="Cambria Math"/>
          </w:rPr>
          <m:t>0.266</m:t>
        </m:r>
        <m:r>
          <m:rPr/>
          <w:rPr>
            <w:rFonts w:hint="default" w:ascii="Cambria Math" w:hAnsi="Cambria Math"/>
          </w:rPr>
          <m:t>×</m:t>
        </m:r>
        <m:r>
          <m:rPr>
            <m:sty m:val="p"/>
          </m:rPr>
          <w:rPr>
            <w:rFonts w:hint="eastAsia" w:ascii="Cambria Math" w:hAnsi="Cambria Math"/>
          </w:rPr>
          <m:t>6948</m:t>
        </m:r>
        <m:r>
          <m:rPr/>
          <w:rPr>
            <w:rFonts w:hint="default" w:ascii="Cambria Math" w:hAnsi="Cambria Math"/>
          </w:rPr>
          <m:t>+8760×0.021</m:t>
        </m:r>
        <m:r>
          <m:rPr/>
          <w:rPr>
            <w:rFonts w:hint="eastAsia" w:ascii="Cambria Math" w:hAnsi="Cambria Math"/>
          </w:rPr>
          <m:t>×</m:t>
        </m:r>
        <m:r>
          <m:rPr/>
          <w:rPr>
            <w:rFonts w:hint="default" w:ascii="Cambria Math" w:hAnsi="Cambria Math"/>
          </w:rPr>
          <m:t>6252</m:t>
        </m:r>
        <m:r>
          <m:rPr/>
          <w:rPr>
            <w:rFonts w:hint="eastAsia" w:ascii="Cambria Math" w:hAnsi="Cambria Math"/>
          </w:rPr>
          <m:t>=</m:t>
        </m:r>
        <m:r>
          <m:rPr/>
          <w:rPr>
            <w:rFonts w:hint="default" w:ascii="Cambria Math" w:hAnsi="Cambria Math"/>
          </w:rPr>
          <m:t>60</m:t>
        </m:r>
        <m:r>
          <m:rPr/>
          <w:rPr>
            <w:rFonts w:hint="eastAsia" w:ascii="Cambria Math" w:hAnsi="Cambria Math"/>
          </w:rPr>
          <m:t>816370</m:t>
        </m:r>
        <m:r>
          <m:rPr>
            <m:sty m:val="p"/>
          </m:rPr>
          <w:rPr>
            <w:rFonts w:hint="eastAsia" w:ascii="Cambria Math" w:hAnsi="Cambria Math"/>
          </w:rPr>
          <m:t>（kW·</m:t>
        </m:r>
        <m:r>
          <m:rPr>
            <m:sty m:val="p"/>
          </m:rPr>
          <w:rPr>
            <w:rFonts w:hint="eastAsia" w:ascii="Cambria Math" w:hAnsi="Cambria Math" w:eastAsia="MS Gothic" w:cs="MS Gothic"/>
          </w:rPr>
          <m:t>h</m:t>
        </m:r>
        <m:r>
          <m:rPr>
            <m:sty m:val="p"/>
          </m:rPr>
          <w:rPr>
            <w:rFonts w:hint="eastAsia" w:ascii="Cambria Math" w:hAnsi="Cambria Math"/>
          </w:rPr>
          <m:t>）</m:t>
        </m:r>
      </m:oMath>
    </w:p>
    <w:p>
      <w:pPr>
        <w:bidi w:val="0"/>
      </w:pPr>
      <w:r>
        <w:rPr>
          <w:rFonts w:hint="eastAsia"/>
        </w:rPr>
        <w:t>依据公式（3）计算数据中心信息设备年总电能消耗量：</w:t>
      </w:r>
    </w:p>
    <w:p>
      <w:pPr>
        <w:pStyle w:val="22"/>
      </w:pPr>
      <w:r>
        <w:tab/>
      </w:r>
      <m:oMath>
        <m:sSub>
          <m:sSubPr>
            <m:ctrlPr>
              <w:rPr>
                <w:rFonts w:hint="default" w:ascii="Cambria Math" w:hAnsi="Cambria Math"/>
              </w:rPr>
            </m:ctrlPr>
          </m:sSubPr>
          <m:e>
            <m:r>
              <m:rPr/>
              <w:rPr>
                <w:rFonts w:hint="default" w:ascii="Cambria Math" w:hAnsi="Cambria Math"/>
              </w:rPr>
              <m:t>E</m:t>
            </m:r>
            <m:ctrlPr>
              <w:rPr>
                <w:rFonts w:hint="default" w:ascii="Cambria Math" w:hAnsi="Cambria Math"/>
              </w:rPr>
            </m:ctrlPr>
          </m:e>
          <m:sub>
            <m:r>
              <m:rPr/>
              <w:rPr>
                <w:rFonts w:hint="default" w:ascii="Cambria Math" w:hAnsi="Cambria Math"/>
              </w:rPr>
              <m:t>CIT</m:t>
            </m:r>
            <m:ctrlPr>
              <w:rPr>
                <w:rFonts w:hint="default" w:ascii="Cambria Math" w:hAnsi="Cambria Math"/>
              </w:rPr>
            </m:ctrlPr>
          </m:sub>
        </m:sSub>
        <m:r>
          <m:rPr/>
          <w:rPr>
            <w:rFonts w:hint="default" w:ascii="Cambria Math" w:hAnsi="Cambria Math"/>
          </w:rPr>
          <m:t>=8760×0.084×</m:t>
        </m:r>
        <m:r>
          <m:rPr>
            <m:sty m:val="p"/>
          </m:rPr>
          <w:rPr>
            <w:rFonts w:hint="default" w:ascii="Cambria Math" w:hAnsi="Cambria Math"/>
          </w:rPr>
          <m:t>5177</m:t>
        </m:r>
        <m:r>
          <m:rPr/>
          <w:rPr>
            <w:rFonts w:hint="default" w:ascii="Cambria Math" w:hAnsi="Cambria Math"/>
          </w:rPr>
          <m:t>+8760×</m:t>
        </m:r>
        <m:r>
          <m:rPr>
            <m:sty m:val="p"/>
          </m:rPr>
          <w:rPr>
            <w:rFonts w:hint="eastAsia" w:ascii="Cambria Math" w:hAnsi="Cambria Math"/>
          </w:rPr>
          <m:t>0.341</m:t>
        </m:r>
        <m:r>
          <m:rPr/>
          <w:rPr>
            <w:rFonts w:hint="default" w:ascii="Cambria Math" w:hAnsi="Cambria Math"/>
          </w:rPr>
          <m:t>×</m:t>
        </m:r>
        <m:r>
          <m:rPr>
            <m:sty m:val="p"/>
          </m:rPr>
          <w:rPr>
            <w:rFonts w:hint="default" w:ascii="Cambria Math" w:hAnsi="Cambria Math"/>
          </w:rPr>
          <m:t>5161</m:t>
        </m:r>
        <m:r>
          <m:rPr/>
          <w:rPr>
            <w:rFonts w:hint="default" w:ascii="Cambria Math" w:hAnsi="Cambria Math"/>
          </w:rPr>
          <m:t>+8760×</m:t>
        </m:r>
        <m:r>
          <m:rPr>
            <m:sty m:val="p"/>
          </m:rPr>
          <w:rPr>
            <w:rFonts w:hint="eastAsia" w:ascii="Cambria Math" w:hAnsi="Cambria Math"/>
          </w:rPr>
          <m:t>0.288</m:t>
        </m:r>
        <m:r>
          <m:rPr/>
          <w:rPr>
            <w:rFonts w:hint="default" w:ascii="Cambria Math" w:hAnsi="Cambria Math"/>
          </w:rPr>
          <m:t>×</m:t>
        </m:r>
        <m:r>
          <m:rPr>
            <m:sty m:val="p"/>
          </m:rPr>
          <w:rPr>
            <w:rFonts w:hint="default" w:ascii="Cambria Math" w:hAnsi="Cambria Math"/>
          </w:rPr>
          <m:t>5144</m:t>
        </m:r>
        <m:r>
          <m:rPr/>
          <w:rPr>
            <w:rFonts w:hint="default" w:ascii="Cambria Math" w:hAnsi="Cambria Math"/>
          </w:rPr>
          <m:t>+8760×</m:t>
        </m:r>
        <m:r>
          <m:rPr>
            <m:sty m:val="p"/>
          </m:rPr>
          <w:rPr>
            <w:rFonts w:hint="eastAsia" w:ascii="Cambria Math" w:hAnsi="Cambria Math"/>
          </w:rPr>
          <m:t>0.266</m:t>
        </m:r>
        <m:r>
          <m:rPr/>
          <w:rPr>
            <w:rFonts w:hint="default" w:ascii="Cambria Math" w:hAnsi="Cambria Math"/>
          </w:rPr>
          <m:t>×</m:t>
        </m:r>
        <m:r>
          <m:rPr>
            <m:sty m:val="p"/>
          </m:rPr>
          <w:rPr>
            <w:rFonts w:hint="default" w:ascii="Cambria Math" w:hAnsi="Cambria Math"/>
          </w:rPr>
          <m:t>5174</m:t>
        </m:r>
        <m:r>
          <m:rPr/>
          <w:rPr>
            <w:rFonts w:hint="default" w:ascii="Cambria Math" w:hAnsi="Cambria Math"/>
          </w:rPr>
          <m:t>+8760×0.021</m:t>
        </m:r>
        <m:r>
          <m:rPr/>
          <w:rPr>
            <w:rFonts w:hint="eastAsia" w:ascii="Cambria Math" w:hAnsi="Cambria Math"/>
          </w:rPr>
          <m:t>×</m:t>
        </m:r>
        <m:r>
          <m:rPr/>
          <w:rPr>
            <w:rFonts w:hint="default" w:ascii="Cambria Math" w:hAnsi="Cambria Math"/>
          </w:rPr>
          <m:t>5065</m:t>
        </m:r>
        <m:r>
          <m:rPr/>
          <w:rPr>
            <w:rFonts w:hint="eastAsia" w:ascii="Cambria Math" w:hAnsi="Cambria Math"/>
          </w:rPr>
          <m:t>=</m:t>
        </m:r>
        <m:r>
          <m:rPr>
            <m:sty m:val="p"/>
          </m:rPr>
          <w:rPr>
            <w:rFonts w:hint="eastAsia" w:ascii="Cambria Math" w:hAnsi="Cambria Math"/>
          </w:rPr>
          <m:t>45191876（kW·</m:t>
        </m:r>
        <m:r>
          <m:rPr>
            <m:sty m:val="p"/>
          </m:rPr>
          <w:rPr>
            <w:rFonts w:hint="eastAsia" w:ascii="Cambria Math" w:hAnsi="Cambria Math" w:eastAsia="MS Gothic" w:cs="MS Gothic"/>
          </w:rPr>
          <m:t>h</m:t>
        </m:r>
        <m:r>
          <m:rPr>
            <m:sty m:val="p"/>
          </m:rPr>
          <w:rPr>
            <w:rFonts w:hint="eastAsia" w:ascii="Cambria Math" w:hAnsi="Cambria Math"/>
          </w:rPr>
          <m:t>）</m:t>
        </m:r>
      </m:oMath>
    </w:p>
    <w:p>
      <w:pPr>
        <w:bidi w:val="0"/>
      </w:pPr>
      <w:r>
        <w:rPr>
          <w:rFonts w:hint="eastAsia"/>
        </w:rPr>
        <w:t>依据公式（4</w:t>
      </w:r>
      <w:r>
        <w:t>.1</w:t>
      </w:r>
      <w:r>
        <w:rPr>
          <w:rFonts w:hint="eastAsia"/>
        </w:rPr>
        <w:t>）计算数据中心电能比特性工况法测算值：</w:t>
      </w:r>
    </w:p>
    <w:p>
      <w:pPr>
        <w:pStyle w:val="17"/>
        <w:bidi w:val="0"/>
        <w:rPr>
          <w:rFonts w:hint="default" w:ascii="Cambria Math" w:hAnsi="Cambria Math"/>
          <w:i w:val="0"/>
        </w:rPr>
      </w:pPr>
      <m:oMathPara>
        <m:oMath>
          <m:sSub>
            <m:sSubPr>
              <m:ctrlPr>
                <w:rPr>
                  <w:rFonts w:hint="default" w:ascii="Cambria Math" w:hAnsi="Cambria Math"/>
                </w:rPr>
              </m:ctrlPr>
            </m:sSubPr>
            <m:e>
              <m:r>
                <m:rPr>
                  <m:sty m:val="p"/>
                </m:rPr>
                <w:rPr>
                  <w:rFonts w:hint="default" w:ascii="Cambria Math" w:hAnsi="Cambria Math"/>
                </w:rPr>
                <m:t>R</m:t>
              </m:r>
              <m:ctrlPr>
                <w:rPr>
                  <w:rFonts w:hint="default" w:ascii="Cambria Math" w:hAnsi="Cambria Math"/>
                </w:rPr>
              </m:ctrlPr>
            </m:e>
            <m:sub>
              <m:r>
                <m:rPr>
                  <m:sty m:val="p"/>
                </m:rPr>
                <w:rPr>
                  <w:rFonts w:hint="default" w:ascii="Cambria Math" w:hAnsi="Cambria Math"/>
                </w:rPr>
                <m:t>M1</m:t>
              </m:r>
              <m:ctrlPr>
                <w:rPr>
                  <w:rFonts w:hint="default" w:ascii="Cambria Math" w:hAnsi="Cambria Math"/>
                </w:rPr>
              </m:ctrlPr>
            </m:sub>
          </m:sSub>
          <m:r>
            <m:rPr>
              <m:sty m:val="p"/>
            </m:rPr>
            <w:rPr>
              <w:rFonts w:hint="default" w:ascii="Cambria Math" w:hAnsi="Cambria Math"/>
            </w:rPr>
            <m:t>=</m:t>
          </m:r>
          <m:f>
            <m:fPr>
              <m:ctrlPr>
                <w:rPr>
                  <w:rFonts w:hint="default" w:ascii="Cambria Math" w:hAnsi="Cambria Math"/>
                </w:rPr>
              </m:ctrlPr>
            </m:fPr>
            <m:num>
              <m:sSub>
                <m:sSubPr>
                  <m:ctrlPr>
                    <w:rPr>
                      <w:rFonts w:hint="default" w:ascii="Cambria Math" w:hAnsi="Cambria Math"/>
                    </w:rPr>
                  </m:ctrlPr>
                </m:sSubPr>
                <m:e>
                  <m:r>
                    <m:rPr>
                      <m:sty m:val="p"/>
                    </m:rPr>
                    <w:rPr>
                      <w:rFonts w:hint="default" w:ascii="Cambria Math" w:hAnsi="Cambria Math"/>
                    </w:rPr>
                    <m:t>E</m:t>
                  </m:r>
                  <m:ctrlPr>
                    <w:rPr>
                      <w:rFonts w:hint="default" w:ascii="Cambria Math" w:hAnsi="Cambria Math"/>
                    </w:rPr>
                  </m:ctrlPr>
                </m:e>
                <m:sub>
                  <m:r>
                    <m:rPr>
                      <m:sty m:val="p"/>
                    </m:rPr>
                    <w:rPr>
                      <w:rFonts w:hint="default" w:ascii="Cambria Math" w:hAnsi="Cambria Math"/>
                    </w:rPr>
                    <m:t>C</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sty m:val="p"/>
                    </m:rPr>
                    <w:rPr>
                      <w:rFonts w:hint="default" w:ascii="Cambria Math" w:hAnsi="Cambria Math"/>
                    </w:rPr>
                    <m:t>E</m:t>
                  </m:r>
                  <m:ctrlPr>
                    <w:rPr>
                      <w:rFonts w:hint="default" w:ascii="Cambria Math" w:hAnsi="Cambria Math"/>
                    </w:rPr>
                  </m:ctrlPr>
                </m:e>
                <m:sub>
                  <m:r>
                    <m:rPr>
                      <m:sty m:val="p"/>
                    </m:rPr>
                    <w:rPr>
                      <w:rFonts w:hint="default" w:ascii="Cambria Math" w:hAnsi="Cambria Math"/>
                    </w:rPr>
                    <m:t>CIT</m:t>
                  </m:r>
                  <m:ctrlPr>
                    <w:rPr>
                      <w:rFonts w:hint="default" w:ascii="Cambria Math" w:hAnsi="Cambria Math"/>
                    </w:rPr>
                  </m:ctrlPr>
                </m:sub>
              </m:sSub>
              <m:ctrlPr>
                <w:rPr>
                  <w:rFonts w:hint="default" w:ascii="Cambria Math" w:hAnsi="Cambria Math"/>
                </w:rPr>
              </m:ctrlPr>
            </m:den>
          </m:f>
          <m:r>
            <m:rPr>
              <m:sty m:val="p"/>
            </m:rPr>
            <w:rPr>
              <w:rFonts w:hint="default" w:ascii="Cambria Math" w:hAnsi="Cambria Math"/>
            </w:rPr>
            <m:t>=</m:t>
          </m:r>
          <m:f>
            <m:fPr>
              <m:ctrlPr>
                <w:rPr>
                  <w:rFonts w:hint="default" w:ascii="Cambria Math" w:hAnsi="Cambria Math"/>
                </w:rPr>
              </m:ctrlPr>
            </m:fPr>
            <m:num>
              <m:r>
                <m:rPr>
                  <m:sty m:val="p"/>
                </m:rPr>
                <w:rPr>
                  <w:rFonts w:hint="default" w:ascii="Cambria Math" w:hAnsi="Cambria Math"/>
                </w:rPr>
                <m:t>60</m:t>
              </m:r>
              <m:r>
                <m:rPr>
                  <m:sty m:val="p"/>
                </m:rPr>
                <w:rPr>
                  <w:rFonts w:hint="eastAsia" w:ascii="Cambria Math" w:hAnsi="Cambria Math"/>
                </w:rPr>
                <m:t>816370</m:t>
              </m:r>
              <m:ctrlPr>
                <w:rPr>
                  <w:rFonts w:hint="default" w:ascii="Cambria Math" w:hAnsi="Cambria Math"/>
                </w:rPr>
              </m:ctrlPr>
            </m:num>
            <m:den>
              <m:r>
                <m:rPr>
                  <m:sty m:val="p"/>
                </m:rPr>
                <w:rPr>
                  <w:rFonts w:hint="eastAsia" w:ascii="Cambria Math" w:hAnsi="Cambria Math"/>
                </w:rPr>
                <m:t>45191876</m:t>
              </m:r>
              <m:ctrlPr>
                <w:rPr>
                  <w:rFonts w:hint="default" w:ascii="Cambria Math" w:hAnsi="Cambria Math"/>
                </w:rPr>
              </m:ctrlPr>
            </m:den>
          </m:f>
          <m:r>
            <m:rPr>
              <m:sty m:val="p"/>
            </m:rPr>
            <w:rPr>
              <w:rFonts w:hint="default" w:ascii="Cambria Math" w:hAnsi="Cambria Math"/>
            </w:rPr>
            <m:t>=1.35</m:t>
          </m:r>
        </m:oMath>
      </m:oMathPara>
    </w:p>
    <w:p>
      <w:pPr>
        <w:rPr>
          <w:rFonts w:hint="eastAsia"/>
          <w:lang w:val="en-US" w:eastAsia="zh-CN"/>
        </w:rPr>
      </w:pPr>
      <w:r>
        <w:rPr>
          <w:rFonts w:hint="eastAsia"/>
          <w:lang w:val="en-US" w:eastAsia="zh-CN"/>
        </w:rPr>
        <w:t>则2019该年数据中心E</w:t>
      </w:r>
      <w:r>
        <w:rPr>
          <w:rFonts w:hint="eastAsia"/>
          <w:vertAlign w:val="subscript"/>
          <w:lang w:val="en-US" w:eastAsia="zh-CN"/>
        </w:rPr>
        <w:t>C</w:t>
      </w:r>
      <w:r>
        <w:rPr>
          <w:rFonts w:hint="eastAsia"/>
          <w:lang w:val="en-US" w:eastAsia="zh-CN"/>
        </w:rPr>
        <w:t>（总耗电量的校准值）为6081.6万kWh，其中信息设备耗电量为</w:t>
      </w:r>
      <w:r>
        <w:rPr>
          <w:rFonts w:hint="eastAsia" w:cs="Times New Roman"/>
          <w:lang w:val="en-US" w:eastAsia="zh-CN"/>
        </w:rPr>
        <w:t>4519.2万kWh，制冷系统耗电量约为1089万kWh;</w:t>
      </w:r>
      <w:r>
        <w:rPr>
          <w:rFonts w:hint="eastAsia"/>
        </w:rPr>
        <w:t>电能比特性工况法测算值</w:t>
      </w:r>
      <w:r>
        <w:rPr>
          <w:rFonts w:hint="eastAsia"/>
          <w:lang w:val="en-US" w:eastAsia="zh-CN"/>
        </w:rPr>
        <w:t>为1.35，制冷负载因子为24%，该数据中心各能效指标与能效标杆对比情况如下所示。</w:t>
      </w:r>
    </w:p>
    <w:p>
      <w:pPr>
        <w:pStyle w:val="19"/>
        <w:bidi w:val="0"/>
        <w:rPr>
          <w:rFonts w:hint="eastAsia"/>
          <w:lang w:val="en-US" w:eastAsia="zh-CN"/>
        </w:rPr>
      </w:pPr>
      <w:r>
        <w:rPr>
          <w:rFonts w:hint="eastAsia"/>
          <w:lang w:val="en-US" w:eastAsia="zh-CN"/>
        </w:rPr>
        <w:t>表B.6 能效指标与能效标杆对比情况</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3175"/>
        <w:gridCol w:w="3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1" w:type="dxa"/>
            <w:vAlign w:val="center"/>
          </w:tcPr>
          <w:p>
            <w:pPr>
              <w:pStyle w:val="17"/>
              <w:widowControl w:val="0"/>
              <w:bidi w:val="0"/>
              <w:jc w:val="center"/>
              <w:rPr>
                <w:rFonts w:hint="default"/>
                <w:b/>
                <w:bCs/>
                <w:lang w:val="en-US" w:eastAsia="zh-CN"/>
              </w:rPr>
            </w:pPr>
            <w:r>
              <w:rPr>
                <w:rFonts w:hint="eastAsia"/>
                <w:b/>
                <w:bCs/>
                <w:lang w:val="en-US" w:eastAsia="zh-CN"/>
              </w:rPr>
              <w:t>指标</w:t>
            </w:r>
          </w:p>
        </w:tc>
        <w:tc>
          <w:tcPr>
            <w:tcW w:w="3175" w:type="dxa"/>
            <w:vAlign w:val="center"/>
          </w:tcPr>
          <w:p>
            <w:pPr>
              <w:pStyle w:val="17"/>
              <w:widowControl w:val="0"/>
              <w:bidi w:val="0"/>
              <w:jc w:val="center"/>
              <w:rPr>
                <w:rFonts w:hint="default"/>
                <w:b/>
                <w:bCs/>
                <w:lang w:val="en-US" w:eastAsia="zh-CN"/>
              </w:rPr>
            </w:pPr>
            <w:r>
              <w:rPr>
                <w:rFonts w:hint="eastAsia"/>
                <w:b/>
                <w:bCs/>
                <w:lang w:val="en-US" w:eastAsia="zh-CN"/>
              </w:rPr>
              <w:t>数据中心现状</w:t>
            </w:r>
          </w:p>
        </w:tc>
        <w:tc>
          <w:tcPr>
            <w:tcW w:w="3176" w:type="dxa"/>
            <w:vAlign w:val="center"/>
          </w:tcPr>
          <w:p>
            <w:pPr>
              <w:pStyle w:val="17"/>
              <w:widowControl w:val="0"/>
              <w:bidi w:val="0"/>
              <w:jc w:val="center"/>
              <w:rPr>
                <w:rFonts w:hint="default"/>
                <w:b/>
                <w:bCs/>
                <w:lang w:val="en-US" w:eastAsia="zh-CN"/>
              </w:rPr>
            </w:pPr>
            <w:r>
              <w:rPr>
                <w:rFonts w:hint="eastAsia"/>
                <w:b/>
                <w:bCs/>
                <w:lang w:val="en-US" w:eastAsia="zh-CN"/>
              </w:rPr>
              <w:t>能效标杆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1" w:type="dxa"/>
            <w:vAlign w:val="center"/>
          </w:tcPr>
          <w:p>
            <w:pPr>
              <w:pStyle w:val="17"/>
              <w:widowControl w:val="0"/>
              <w:bidi w:val="0"/>
              <w:jc w:val="center"/>
              <w:rPr>
                <w:rFonts w:hint="default"/>
                <w:lang w:val="en-US" w:eastAsia="zh-CN"/>
              </w:rPr>
            </w:pPr>
            <w:r>
              <w:rPr>
                <w:rFonts w:hint="eastAsia"/>
                <w:lang w:val="en-US" w:eastAsia="zh-CN"/>
              </w:rPr>
              <w:t>R（电能比）</w:t>
            </w:r>
          </w:p>
        </w:tc>
        <w:tc>
          <w:tcPr>
            <w:tcW w:w="3175" w:type="dxa"/>
            <w:vAlign w:val="center"/>
          </w:tcPr>
          <w:p>
            <w:pPr>
              <w:pStyle w:val="17"/>
              <w:widowControl w:val="0"/>
              <w:bidi w:val="0"/>
              <w:jc w:val="center"/>
              <w:rPr>
                <w:rFonts w:hint="default"/>
                <w:lang w:val="en-US" w:eastAsia="zh-CN"/>
              </w:rPr>
            </w:pPr>
            <w:r>
              <w:rPr>
                <w:rFonts w:hint="eastAsia"/>
                <w:lang w:val="en-US" w:eastAsia="zh-CN"/>
              </w:rPr>
              <w:t>1.35</w:t>
            </w:r>
          </w:p>
        </w:tc>
        <w:tc>
          <w:tcPr>
            <w:tcW w:w="3176" w:type="dxa"/>
            <w:vAlign w:val="center"/>
          </w:tcPr>
          <w:p>
            <w:pPr>
              <w:pStyle w:val="17"/>
              <w:widowControl w:val="0"/>
              <w:bidi w:val="0"/>
              <w:jc w:val="center"/>
              <w:rPr>
                <w:rFonts w:hint="default"/>
                <w:lang w:val="en-US" w:eastAsia="zh-CN"/>
              </w:rPr>
            </w:pPr>
            <w:r>
              <w:rPr>
                <w:rFonts w:hint="eastAsia"/>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1" w:type="dxa"/>
            <w:vAlign w:val="center"/>
          </w:tcPr>
          <w:p>
            <w:pPr>
              <w:pStyle w:val="17"/>
              <w:widowControl w:val="0"/>
              <w:bidi w:val="0"/>
              <w:jc w:val="center"/>
              <w:rPr>
                <w:rFonts w:hint="default"/>
                <w:lang w:val="en-US" w:eastAsia="zh-CN"/>
              </w:rPr>
            </w:pPr>
            <w:r>
              <w:rPr>
                <w:rFonts w:hint="eastAsia"/>
                <w:lang w:val="en-US" w:eastAsia="zh-CN"/>
              </w:rPr>
              <w:t>CLF（制冷负载因子）</w:t>
            </w:r>
          </w:p>
        </w:tc>
        <w:tc>
          <w:tcPr>
            <w:tcW w:w="3175" w:type="dxa"/>
            <w:vAlign w:val="center"/>
          </w:tcPr>
          <w:p>
            <w:pPr>
              <w:pStyle w:val="17"/>
              <w:widowControl w:val="0"/>
              <w:bidi w:val="0"/>
              <w:jc w:val="center"/>
              <w:rPr>
                <w:rFonts w:hint="default"/>
                <w:lang w:val="en-US" w:eastAsia="zh-CN"/>
              </w:rPr>
            </w:pPr>
            <w:r>
              <w:rPr>
                <w:rFonts w:hint="eastAsia"/>
                <w:lang w:val="en-US" w:eastAsia="zh-CN"/>
              </w:rPr>
              <w:t>24%</w:t>
            </w:r>
          </w:p>
        </w:tc>
        <w:tc>
          <w:tcPr>
            <w:tcW w:w="3176" w:type="dxa"/>
            <w:vAlign w:val="center"/>
          </w:tcPr>
          <w:p>
            <w:pPr>
              <w:pStyle w:val="17"/>
              <w:widowControl w:val="0"/>
              <w:bidi w:val="0"/>
              <w:jc w:val="center"/>
              <w:rPr>
                <w:rFonts w:hint="default"/>
                <w:lang w:val="en-US" w:eastAsia="zh-CN"/>
              </w:rPr>
            </w:pPr>
            <w:r>
              <w:rPr>
                <w:rFonts w:hint="eastAsia"/>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1" w:type="dxa"/>
            <w:vAlign w:val="center"/>
          </w:tcPr>
          <w:p>
            <w:pPr>
              <w:pStyle w:val="17"/>
              <w:widowControl w:val="0"/>
              <w:bidi w:val="0"/>
              <w:jc w:val="center"/>
              <w:rPr>
                <w:rFonts w:hint="eastAsia"/>
                <w:lang w:val="en-US" w:eastAsia="zh-CN"/>
              </w:rPr>
            </w:pPr>
            <w:r>
              <w:rPr>
                <w:rFonts w:hint="eastAsia"/>
                <w:lang w:val="en-US" w:eastAsia="zh-CN"/>
              </w:rPr>
              <w:t>系统监控形式</w:t>
            </w:r>
          </w:p>
        </w:tc>
        <w:tc>
          <w:tcPr>
            <w:tcW w:w="3175" w:type="dxa"/>
            <w:vAlign w:val="center"/>
          </w:tcPr>
          <w:p>
            <w:pPr>
              <w:pStyle w:val="17"/>
              <w:widowControl w:val="0"/>
              <w:bidi w:val="0"/>
              <w:jc w:val="center"/>
              <w:rPr>
                <w:rFonts w:hint="eastAsia"/>
                <w:lang w:val="en-US" w:eastAsia="zh-CN"/>
              </w:rPr>
            </w:pPr>
            <w:r>
              <w:rPr>
                <w:rFonts w:hint="eastAsia"/>
                <w:lang w:val="en-US" w:eastAsia="zh-CN"/>
              </w:rPr>
              <w:t>传统监控形式，实时监测系统运行状况</w:t>
            </w:r>
          </w:p>
        </w:tc>
        <w:tc>
          <w:tcPr>
            <w:tcW w:w="3176" w:type="dxa"/>
            <w:vAlign w:val="center"/>
          </w:tcPr>
          <w:p>
            <w:pPr>
              <w:pStyle w:val="17"/>
              <w:widowControl w:val="0"/>
              <w:bidi w:val="0"/>
              <w:jc w:val="center"/>
              <w:rPr>
                <w:rFonts w:hint="default"/>
                <w:lang w:val="en-US" w:eastAsia="zh-CN"/>
              </w:rPr>
            </w:pPr>
            <w:r>
              <w:rPr>
                <w:rFonts w:hint="eastAsia"/>
                <w:lang w:val="en-US" w:eastAsia="zh-CN"/>
              </w:rPr>
              <w:t>AI智能监控系统，根据设备历史运行状况自动调控至最佳水平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1" w:type="dxa"/>
            <w:vAlign w:val="center"/>
          </w:tcPr>
          <w:p>
            <w:pPr>
              <w:pStyle w:val="17"/>
              <w:widowControl w:val="0"/>
              <w:bidi w:val="0"/>
              <w:jc w:val="center"/>
              <w:rPr>
                <w:rFonts w:hint="eastAsia"/>
                <w:lang w:val="en-US" w:eastAsia="zh-CN"/>
              </w:rPr>
            </w:pPr>
            <w:r>
              <w:rPr>
                <w:rFonts w:hint="eastAsia"/>
                <w:lang w:val="en-US" w:eastAsia="zh-CN"/>
              </w:rPr>
              <w:t>空调形式</w:t>
            </w:r>
          </w:p>
        </w:tc>
        <w:tc>
          <w:tcPr>
            <w:tcW w:w="3175" w:type="dxa"/>
            <w:vAlign w:val="center"/>
          </w:tcPr>
          <w:p>
            <w:pPr>
              <w:pStyle w:val="17"/>
              <w:widowControl w:val="0"/>
              <w:bidi w:val="0"/>
              <w:jc w:val="center"/>
              <w:rPr>
                <w:rFonts w:hint="eastAsia"/>
                <w:lang w:val="en-US" w:eastAsia="zh-CN"/>
              </w:rPr>
            </w:pPr>
            <w:r>
              <w:rPr>
                <w:rFonts w:cs="Times New Roman"/>
              </w:rPr>
              <w:t>水冷空调系统</w:t>
            </w:r>
          </w:p>
        </w:tc>
        <w:tc>
          <w:tcPr>
            <w:tcW w:w="3176" w:type="dxa"/>
            <w:vAlign w:val="center"/>
          </w:tcPr>
          <w:p>
            <w:pPr>
              <w:pStyle w:val="17"/>
              <w:widowControl w:val="0"/>
              <w:bidi w:val="0"/>
              <w:jc w:val="center"/>
              <w:rPr>
                <w:rFonts w:hint="eastAsia"/>
                <w:lang w:val="en-US" w:eastAsia="zh-CN"/>
              </w:rPr>
            </w:pPr>
            <w:r>
              <w:rPr>
                <w:rFonts w:cs="Times New Roman"/>
              </w:rPr>
              <w:t>水冷空调系统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1" w:type="dxa"/>
            <w:vAlign w:val="center"/>
          </w:tcPr>
          <w:p>
            <w:pPr>
              <w:pStyle w:val="17"/>
              <w:widowControl w:val="0"/>
              <w:bidi w:val="0"/>
              <w:jc w:val="center"/>
              <w:rPr>
                <w:rFonts w:hint="eastAsia"/>
                <w:lang w:val="en-US" w:eastAsia="zh-CN"/>
              </w:rPr>
            </w:pPr>
            <w:r>
              <w:rPr>
                <w:rFonts w:hint="eastAsia"/>
                <w:lang w:val="en-US" w:eastAsia="zh-CN"/>
              </w:rPr>
              <w:t>空调末端供冷形式</w:t>
            </w:r>
          </w:p>
        </w:tc>
        <w:tc>
          <w:tcPr>
            <w:tcW w:w="3175" w:type="dxa"/>
            <w:vAlign w:val="center"/>
          </w:tcPr>
          <w:p>
            <w:pPr>
              <w:pStyle w:val="17"/>
              <w:widowControl w:val="0"/>
              <w:bidi w:val="0"/>
              <w:jc w:val="center"/>
              <w:rPr>
                <w:rFonts w:hint="eastAsia" w:ascii="宋体" w:hAnsi="宋体" w:eastAsia="宋体" w:cs="宋体"/>
                <w:szCs w:val="24"/>
                <w:lang w:eastAsia="zh-CN"/>
              </w:rPr>
            </w:pPr>
            <w:r>
              <w:rPr>
                <w:rFonts w:hint="eastAsia" w:ascii="宋体" w:hAnsi="宋体" w:cs="宋体"/>
                <w:szCs w:val="24"/>
              </w:rPr>
              <w:t>密闭通道级供冷</w:t>
            </w:r>
          </w:p>
        </w:tc>
        <w:tc>
          <w:tcPr>
            <w:tcW w:w="3176" w:type="dxa"/>
            <w:vAlign w:val="center"/>
          </w:tcPr>
          <w:p>
            <w:pPr>
              <w:pStyle w:val="17"/>
              <w:widowControl w:val="0"/>
              <w:bidi w:val="0"/>
              <w:jc w:val="center"/>
              <w:rPr>
                <w:rFonts w:hint="eastAsia" w:ascii="宋体" w:hAnsi="宋体" w:eastAsia="宋体" w:cs="宋体"/>
                <w:szCs w:val="24"/>
                <w:lang w:eastAsia="zh-CN"/>
              </w:rPr>
            </w:pPr>
            <w:r>
              <w:rPr>
                <w:rFonts w:hint="eastAsia" w:ascii="宋体" w:hAnsi="宋体" w:cs="宋体"/>
                <w:szCs w:val="24"/>
              </w:rPr>
              <w:t>密闭通道级供冷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1" w:type="dxa"/>
            <w:vAlign w:val="center"/>
          </w:tcPr>
          <w:p>
            <w:pPr>
              <w:pStyle w:val="17"/>
              <w:widowControl w:val="0"/>
              <w:bidi w:val="0"/>
              <w:jc w:val="center"/>
              <w:rPr>
                <w:rFonts w:hint="eastAsia" w:cs="Times New Roman"/>
                <w:lang w:eastAsia="zh-CN"/>
              </w:rPr>
            </w:pPr>
            <w:r>
              <w:rPr>
                <w:rFonts w:hint="eastAsia" w:cs="Times New Roman"/>
                <w:lang w:eastAsia="zh-CN"/>
              </w:rPr>
              <w:t>冷水机组控制方式</w:t>
            </w:r>
          </w:p>
        </w:tc>
        <w:tc>
          <w:tcPr>
            <w:tcW w:w="3175" w:type="dxa"/>
            <w:vAlign w:val="center"/>
          </w:tcPr>
          <w:p>
            <w:pPr>
              <w:pStyle w:val="17"/>
              <w:widowControl w:val="0"/>
              <w:bidi w:val="0"/>
              <w:jc w:val="center"/>
              <w:rPr>
                <w:rFonts w:hint="eastAsia" w:ascii="宋体" w:hAnsi="宋体" w:cs="宋体"/>
                <w:szCs w:val="24"/>
                <w:lang w:eastAsia="zh-CN"/>
              </w:rPr>
            </w:pPr>
            <w:r>
              <w:rPr>
                <w:rFonts w:hint="eastAsia" w:ascii="宋体" w:hAnsi="宋体" w:cs="宋体"/>
                <w:szCs w:val="24"/>
                <w:lang w:eastAsia="zh-CN"/>
              </w:rPr>
              <w:t>传统形式</w:t>
            </w:r>
          </w:p>
        </w:tc>
        <w:tc>
          <w:tcPr>
            <w:tcW w:w="3176" w:type="dxa"/>
            <w:vAlign w:val="center"/>
          </w:tcPr>
          <w:p>
            <w:pPr>
              <w:pStyle w:val="17"/>
              <w:widowControl w:val="0"/>
              <w:bidi w:val="0"/>
              <w:jc w:val="center"/>
              <w:rPr>
                <w:rFonts w:hint="eastAsia" w:ascii="宋体" w:hAnsi="宋体" w:cs="宋体"/>
                <w:szCs w:val="24"/>
                <w:lang w:eastAsia="zh-CN"/>
              </w:rPr>
            </w:pPr>
            <w:r>
              <w:rPr>
                <w:rFonts w:hint="eastAsia"/>
                <w:kern w:val="0"/>
                <w:szCs w:val="21"/>
              </w:rPr>
              <w:t>冷机及其附属设备采用变频控制，末端风机采用直流调速控制，根据末端负载温度，调节冷机输出功率，降低流体节流损耗</w:t>
            </w:r>
          </w:p>
        </w:tc>
      </w:tr>
    </w:tbl>
    <w:p>
      <w:pPr>
        <w:bidi w:val="0"/>
        <w:rPr>
          <w:rFonts w:hint="eastAsia"/>
          <w:lang w:val="en-US" w:eastAsia="zh-CN"/>
        </w:rPr>
      </w:pPr>
      <w:r>
        <w:rPr>
          <w:rFonts w:hint="eastAsia"/>
          <w:lang w:val="en-US" w:eastAsia="zh-CN"/>
        </w:rPr>
        <w:t>通过与标杆数据中心的能效对比分析，对标工作小组认为该数据中心与能效标杆存在差异的重要因素之一是制冷系统电能使用效率与能效标杆存在差异；其次还有系统的运维管理方式过于依赖传统的人工调控方法，导致能效水平较低。</w:t>
      </w:r>
    </w:p>
    <w:p>
      <w:pPr>
        <w:bidi w:val="0"/>
        <w:rPr>
          <w:rFonts w:hint="eastAsia"/>
          <w:lang w:val="en-US" w:eastAsia="zh-CN"/>
        </w:rPr>
      </w:pPr>
      <w:r>
        <w:rPr>
          <w:rFonts w:hint="eastAsia"/>
          <w:lang w:val="en-US" w:eastAsia="zh-CN"/>
        </w:rPr>
        <w:t>根据与能效标杆的对标情况，对标小组明确了与能效标杆的差距和原因，编制了《能效对标分析报告》。</w:t>
      </w:r>
    </w:p>
    <w:p>
      <w:pPr>
        <w:pStyle w:val="2"/>
        <w:rPr>
          <w:rFonts w:hint="eastAsia"/>
          <w:b/>
          <w:bCs/>
          <w:lang w:val="en-US" w:eastAsia="zh-CN"/>
        </w:rPr>
      </w:pPr>
      <w:r>
        <w:rPr>
          <w:rFonts w:hint="eastAsia"/>
          <w:b/>
          <w:bCs/>
          <w:lang w:val="en-US" w:eastAsia="zh-CN"/>
        </w:rPr>
        <w:t>7.制定能效改进实施方案</w:t>
      </w:r>
    </w:p>
    <w:p>
      <w:pPr>
        <w:pStyle w:val="2"/>
        <w:rPr>
          <w:rFonts w:hint="eastAsia"/>
          <w:lang w:val="en-US" w:eastAsia="zh-CN"/>
        </w:rPr>
      </w:pPr>
      <w:r>
        <w:rPr>
          <w:rFonts w:hint="eastAsia"/>
          <w:lang w:val="en-US" w:eastAsia="zh-CN"/>
        </w:rPr>
        <w:t>根据《能效对标分析报告》并结合实际情况，对标领导小组组织制定了《能效改进实施方案》，主要能效改进措施分为引进“AI智能监控系统”，冷水机组设备优化改造等。具体内容见下表。</w:t>
      </w:r>
    </w:p>
    <w:p>
      <w:pPr>
        <w:pStyle w:val="19"/>
        <w:bidi w:val="0"/>
        <w:rPr>
          <w:rFonts w:hint="eastAsia"/>
          <w:lang w:val="en-US" w:eastAsia="zh-CN"/>
        </w:rPr>
      </w:pPr>
      <w:r>
        <w:rPr>
          <w:rFonts w:hint="eastAsia"/>
          <w:lang w:val="en-US" w:eastAsia="zh-CN"/>
        </w:rPr>
        <w:t>表B.7 主要能效改进实施措施</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908" w:type="dxa"/>
            <w:vAlign w:val="center"/>
          </w:tcPr>
          <w:p>
            <w:pPr>
              <w:pStyle w:val="17"/>
              <w:widowControl w:val="0"/>
              <w:bidi w:val="0"/>
              <w:jc w:val="center"/>
              <w:rPr>
                <w:rFonts w:hint="default"/>
                <w:b/>
                <w:bCs/>
                <w:lang w:val="en-US" w:eastAsia="zh-CN"/>
              </w:rPr>
            </w:pPr>
            <w:r>
              <w:rPr>
                <w:rFonts w:hint="eastAsia"/>
                <w:b/>
                <w:bCs/>
                <w:lang w:val="en-US" w:eastAsia="zh-CN"/>
              </w:rPr>
              <w:t>改进类型</w:t>
            </w:r>
          </w:p>
        </w:tc>
        <w:tc>
          <w:tcPr>
            <w:tcW w:w="6614" w:type="dxa"/>
            <w:vAlign w:val="center"/>
          </w:tcPr>
          <w:p>
            <w:pPr>
              <w:pStyle w:val="17"/>
              <w:widowControl w:val="0"/>
              <w:bidi w:val="0"/>
              <w:jc w:val="center"/>
              <w:rPr>
                <w:rFonts w:hint="default"/>
                <w:b/>
                <w:bCs/>
                <w:lang w:val="en-US" w:eastAsia="zh-CN"/>
              </w:rPr>
            </w:pPr>
            <w:r>
              <w:rPr>
                <w:rFonts w:hint="eastAsia"/>
                <w:b/>
                <w:bCs/>
                <w:lang w:val="en-US" w:eastAsia="zh-CN"/>
              </w:rPr>
              <w:t>主要能效改进措施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Merge w:val="restart"/>
            <w:vAlign w:val="center"/>
          </w:tcPr>
          <w:p>
            <w:pPr>
              <w:pStyle w:val="17"/>
              <w:widowControl w:val="0"/>
              <w:bidi w:val="0"/>
              <w:jc w:val="center"/>
              <w:rPr>
                <w:rFonts w:hint="default"/>
                <w:lang w:val="en-US" w:eastAsia="zh-CN"/>
              </w:rPr>
            </w:pPr>
            <w:r>
              <w:rPr>
                <w:rFonts w:hint="eastAsia"/>
                <w:lang w:val="en-US" w:eastAsia="zh-CN"/>
              </w:rPr>
              <w:t>设备方面</w:t>
            </w:r>
          </w:p>
        </w:tc>
        <w:tc>
          <w:tcPr>
            <w:tcW w:w="6614" w:type="dxa"/>
            <w:vAlign w:val="center"/>
          </w:tcPr>
          <w:p>
            <w:pPr>
              <w:pStyle w:val="17"/>
              <w:widowControl w:val="0"/>
              <w:bidi w:val="0"/>
              <w:jc w:val="left"/>
              <w:rPr>
                <w:rFonts w:hint="default" w:ascii="Times New Roman" w:hAnsi="Times New Roman" w:eastAsia="宋体" w:cstheme="minorBidi"/>
                <w:sz w:val="21"/>
                <w:lang w:val="en-US" w:eastAsia="zh-CN"/>
              </w:rPr>
            </w:pPr>
            <w:r>
              <w:rPr>
                <w:rFonts w:hint="eastAsia"/>
                <w:lang w:val="en-US" w:eastAsia="zh-CN"/>
              </w:rPr>
              <w:t>冷水机组设备优化改造，引进变频技术，加大电能利用效率。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Merge w:val="continue"/>
            <w:vAlign w:val="center"/>
          </w:tcPr>
          <w:p>
            <w:pPr>
              <w:pStyle w:val="17"/>
              <w:widowControl w:val="0"/>
              <w:bidi w:val="0"/>
              <w:jc w:val="center"/>
              <w:rPr>
                <w:rFonts w:hint="default"/>
                <w:lang w:val="en-US" w:eastAsia="zh-CN"/>
              </w:rPr>
            </w:pPr>
          </w:p>
        </w:tc>
        <w:tc>
          <w:tcPr>
            <w:tcW w:w="6614" w:type="dxa"/>
            <w:vAlign w:val="center"/>
          </w:tcPr>
          <w:p>
            <w:pPr>
              <w:pStyle w:val="17"/>
              <w:widowControl w:val="0"/>
              <w:bidi w:val="0"/>
              <w:jc w:val="left"/>
              <w:rPr>
                <w:rFonts w:hint="default"/>
                <w:lang w:val="en-US" w:eastAsia="zh-CN"/>
              </w:rPr>
            </w:pPr>
            <w:r>
              <w:rPr>
                <w:rFonts w:hint="eastAsia"/>
                <w:lang w:val="en-US" w:eastAsia="zh-CN"/>
              </w:rPr>
              <w:t>提高设备可靠性，保证机组安全稳定运行。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Merge w:val="continue"/>
            <w:vAlign w:val="center"/>
          </w:tcPr>
          <w:p>
            <w:pPr>
              <w:pStyle w:val="17"/>
              <w:widowControl w:val="0"/>
              <w:bidi w:val="0"/>
              <w:jc w:val="center"/>
              <w:rPr>
                <w:rFonts w:hint="default"/>
                <w:lang w:val="en-US" w:eastAsia="zh-CN"/>
              </w:rPr>
            </w:pPr>
          </w:p>
        </w:tc>
        <w:tc>
          <w:tcPr>
            <w:tcW w:w="6614" w:type="dxa"/>
            <w:vAlign w:val="center"/>
          </w:tcPr>
          <w:p>
            <w:pPr>
              <w:pStyle w:val="17"/>
              <w:widowControl w:val="0"/>
              <w:bidi w:val="0"/>
              <w:jc w:val="left"/>
              <w:rPr>
                <w:rFonts w:hint="default"/>
                <w:lang w:val="en-US" w:eastAsia="zh-CN"/>
              </w:rPr>
            </w:pPr>
            <w:r>
              <w:rPr>
                <w:rFonts w:hint="eastAsia"/>
                <w:lang w:val="en-US" w:eastAsia="zh-CN"/>
              </w:rPr>
              <w:t>深化设备点检定修，加强设备维护管理，提高设备运转效率。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Merge w:val="restart"/>
            <w:vAlign w:val="center"/>
          </w:tcPr>
          <w:p>
            <w:pPr>
              <w:pStyle w:val="17"/>
              <w:widowControl w:val="0"/>
              <w:bidi w:val="0"/>
              <w:jc w:val="center"/>
              <w:rPr>
                <w:rFonts w:hint="default"/>
                <w:lang w:val="en-US" w:eastAsia="zh-CN"/>
              </w:rPr>
            </w:pPr>
            <w:r>
              <w:rPr>
                <w:rFonts w:hint="eastAsia"/>
                <w:lang w:val="en-US" w:eastAsia="zh-CN"/>
              </w:rPr>
              <w:t>运维管理方面</w:t>
            </w:r>
          </w:p>
        </w:tc>
        <w:tc>
          <w:tcPr>
            <w:tcW w:w="6614" w:type="dxa"/>
            <w:vAlign w:val="center"/>
          </w:tcPr>
          <w:p>
            <w:pPr>
              <w:pStyle w:val="17"/>
              <w:widowControl w:val="0"/>
              <w:bidi w:val="0"/>
              <w:jc w:val="left"/>
              <w:rPr>
                <w:rFonts w:hint="eastAsia" w:ascii="Times New Roman" w:hAnsi="Times New Roman" w:eastAsia="宋体" w:cstheme="minorBidi"/>
                <w:sz w:val="21"/>
                <w:lang w:val="en-US" w:eastAsia="zh-CN"/>
              </w:rPr>
            </w:pPr>
            <w:r>
              <w:rPr>
                <w:rFonts w:hint="eastAsia" w:cstheme="minorBidi"/>
                <w:sz w:val="21"/>
                <w:lang w:val="en-US" w:eastAsia="zh-CN"/>
              </w:rPr>
              <w:t>引进</w:t>
            </w:r>
            <w:r>
              <w:rPr>
                <w:rFonts w:hint="eastAsia"/>
                <w:lang w:val="en-US" w:eastAsia="zh-CN"/>
              </w:rPr>
              <w:t>“AI智能监控系统”，</w:t>
            </w:r>
            <w:r>
              <w:rPr>
                <w:rFonts w:hint="eastAsia"/>
                <w:kern w:val="0"/>
                <w:szCs w:val="21"/>
              </w:rPr>
              <w:t>提升智能监控系统自动化水平</w:t>
            </w:r>
            <w:r>
              <w:rPr>
                <w:rFonts w:hint="eastAsia"/>
                <w:kern w:val="0"/>
                <w:szCs w:val="21"/>
                <w:lang w:eastAsia="zh-CN"/>
              </w:rPr>
              <w:t>，保障设备最佳运转状态。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Merge w:val="continue"/>
            <w:vAlign w:val="center"/>
          </w:tcPr>
          <w:p>
            <w:pPr>
              <w:pStyle w:val="17"/>
              <w:widowControl w:val="0"/>
              <w:bidi w:val="0"/>
              <w:jc w:val="center"/>
              <w:rPr>
                <w:rFonts w:hint="default"/>
                <w:lang w:val="en-US" w:eastAsia="zh-CN"/>
              </w:rPr>
            </w:pPr>
          </w:p>
        </w:tc>
        <w:tc>
          <w:tcPr>
            <w:tcW w:w="6614" w:type="dxa"/>
            <w:vAlign w:val="center"/>
          </w:tcPr>
          <w:p>
            <w:pPr>
              <w:pStyle w:val="17"/>
              <w:widowControl w:val="0"/>
              <w:bidi w:val="0"/>
              <w:jc w:val="left"/>
              <w:rPr>
                <w:rFonts w:hint="eastAsia" w:eastAsia="宋体"/>
                <w:lang w:val="en-US" w:eastAsia="zh-CN"/>
              </w:rPr>
            </w:pPr>
            <w:r>
              <w:rPr>
                <w:rFonts w:hint="eastAsia"/>
                <w:kern w:val="0"/>
                <w:szCs w:val="21"/>
              </w:rPr>
              <w:t>数据中心</w:t>
            </w:r>
            <w:r>
              <w:rPr>
                <w:rFonts w:hint="eastAsia"/>
                <w:kern w:val="0"/>
                <w:szCs w:val="21"/>
                <w:lang w:eastAsia="zh-CN"/>
              </w:rPr>
              <w:t>改用</w:t>
            </w:r>
            <w:r>
              <w:rPr>
                <w:rFonts w:hint="eastAsia"/>
                <w:kern w:val="0"/>
                <w:szCs w:val="21"/>
              </w:rPr>
              <w:t>回廊型机构，外置玻璃幕墙，可有效阻隔热辐射，降低冷量损耗</w:t>
            </w:r>
            <w:r>
              <w:rPr>
                <w:rFonts w:hint="eastAsia"/>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Merge w:val="continue"/>
            <w:vAlign w:val="center"/>
          </w:tcPr>
          <w:p>
            <w:pPr>
              <w:pStyle w:val="17"/>
              <w:widowControl w:val="0"/>
              <w:bidi w:val="0"/>
              <w:jc w:val="center"/>
              <w:rPr>
                <w:rFonts w:hint="default"/>
                <w:lang w:val="en-US" w:eastAsia="zh-CN"/>
              </w:rPr>
            </w:pPr>
          </w:p>
        </w:tc>
        <w:tc>
          <w:tcPr>
            <w:tcW w:w="6614" w:type="dxa"/>
            <w:vAlign w:val="center"/>
          </w:tcPr>
          <w:p>
            <w:pPr>
              <w:pStyle w:val="17"/>
              <w:widowControl w:val="0"/>
              <w:bidi w:val="0"/>
              <w:jc w:val="left"/>
              <w:rPr>
                <w:rFonts w:hint="eastAsia"/>
                <w:lang w:val="en-US" w:eastAsia="zh-CN"/>
              </w:rPr>
            </w:pPr>
            <w:r>
              <w:rPr>
                <w:rFonts w:hint="eastAsia"/>
                <w:lang w:val="en-US" w:eastAsia="zh-CN"/>
              </w:rPr>
              <w:t>严格执行各项节能措施，做到科学、经济用能，杜绝能源浪费。</w:t>
            </w:r>
          </w:p>
        </w:tc>
      </w:tr>
    </w:tbl>
    <w:p>
      <w:pPr>
        <w:bidi w:val="0"/>
        <w:rPr>
          <w:rFonts w:hint="eastAsia"/>
          <w:b/>
          <w:bCs/>
          <w:lang w:val="en-US" w:eastAsia="zh-CN"/>
        </w:rPr>
      </w:pPr>
      <w:r>
        <w:rPr>
          <w:rFonts w:hint="eastAsia"/>
          <w:b/>
          <w:bCs/>
          <w:lang w:val="en-US" w:eastAsia="zh-CN"/>
        </w:rPr>
        <w:t>8.落实改进措施</w:t>
      </w:r>
    </w:p>
    <w:p>
      <w:pPr>
        <w:pStyle w:val="2"/>
        <w:rPr>
          <w:rFonts w:hint="eastAsia"/>
          <w:lang w:val="en-US" w:eastAsia="zh-CN"/>
        </w:rPr>
      </w:pPr>
      <w:r>
        <w:rPr>
          <w:rFonts w:hint="eastAsia"/>
          <w:lang w:val="en-US" w:eastAsia="zh-CN"/>
        </w:rPr>
        <w:t>2020年3~10月，该数据中心全面落实《能效改进实施方案》，将能效改进目标及措施分解落实到各责任部门和相应负责人，扎实推进各项能效改进措施。</w:t>
      </w:r>
    </w:p>
    <w:p>
      <w:pPr>
        <w:pStyle w:val="2"/>
        <w:rPr>
          <w:rFonts w:hint="default"/>
          <w:b/>
          <w:bCs/>
          <w:lang w:val="en-US" w:eastAsia="zh-CN"/>
        </w:rPr>
      </w:pPr>
      <w:r>
        <w:rPr>
          <w:rFonts w:hint="eastAsia"/>
          <w:b/>
          <w:bCs/>
          <w:lang w:val="en-US" w:eastAsia="zh-CN"/>
        </w:rPr>
        <w:t>9.初步能效对标结果</w:t>
      </w:r>
    </w:p>
    <w:p>
      <w:pPr>
        <w:pStyle w:val="2"/>
        <w:rPr>
          <w:rFonts w:hint="eastAsia"/>
          <w:lang w:val="en-US" w:eastAsia="zh-CN"/>
        </w:rPr>
      </w:pPr>
      <w:r>
        <w:rPr>
          <w:rFonts w:hint="eastAsia"/>
          <w:lang w:val="en-US" w:eastAsia="zh-CN"/>
        </w:rPr>
        <w:t>2020年6月，该数据中心对能效对标活动进行了阶段总结。2020年1月~6月，该数据中心电能比降至1.31，同比2019年1~6月降低0.04；制冷负载因子降至20%。</w:t>
      </w:r>
    </w:p>
    <w:p>
      <w:pPr>
        <w:pStyle w:val="2"/>
        <w:rPr>
          <w:rFonts w:hint="eastAsia"/>
          <w:b/>
          <w:bCs/>
          <w:lang w:val="en-US" w:eastAsia="zh-CN"/>
        </w:rPr>
      </w:pPr>
      <w:r>
        <w:rPr>
          <w:rFonts w:hint="eastAsia"/>
          <w:b/>
          <w:bCs/>
          <w:lang w:val="en-US" w:eastAsia="zh-CN"/>
        </w:rPr>
        <w:t>10.能效对标评估总结</w:t>
      </w:r>
    </w:p>
    <w:p>
      <w:pPr>
        <w:pStyle w:val="2"/>
        <w:rPr>
          <w:rFonts w:hint="eastAsia"/>
          <w:b w:val="0"/>
          <w:bCs w:val="0"/>
          <w:lang w:val="en-US" w:eastAsia="zh-CN"/>
        </w:rPr>
      </w:pPr>
      <w:r>
        <w:rPr>
          <w:rFonts w:hint="eastAsia"/>
          <w:b w:val="0"/>
          <w:bCs w:val="0"/>
          <w:lang w:val="en-US" w:eastAsia="zh-CN"/>
        </w:rPr>
        <w:t>在能效对标活动领导小组的指导下，能效对标工作小组对本次能效对标工作开展情况开展了阶段性评估，编制了《能效对标评估报告》，对此次能效对标结果进行了分析。由对标结果可知，该数据中心能效水平与标杆企业还存在较大差异，分析认为差距产生的主要原因有机架上架率偏低、设备老化、设备参数与实际运转所需功耗不匹配等，但因数据中心的特殊性，短时间内难以进行大范围设备更新改造。</w:t>
      </w:r>
    </w:p>
    <w:p>
      <w:pPr>
        <w:pStyle w:val="2"/>
        <w:rPr>
          <w:rFonts w:hint="eastAsia"/>
          <w:b/>
          <w:bCs/>
          <w:lang w:val="en-US" w:eastAsia="zh-CN"/>
        </w:rPr>
      </w:pPr>
      <w:r>
        <w:rPr>
          <w:rFonts w:hint="eastAsia"/>
          <w:b/>
          <w:bCs/>
          <w:lang w:val="en-US" w:eastAsia="zh-CN"/>
        </w:rPr>
        <w:t>11.对标活动存在的问题与建议</w:t>
      </w:r>
    </w:p>
    <w:p>
      <w:pPr>
        <w:pStyle w:val="2"/>
        <w:rPr>
          <w:rFonts w:hint="eastAsia"/>
          <w:b/>
          <w:bCs/>
          <w:lang w:val="en-US" w:eastAsia="zh-CN"/>
        </w:rPr>
      </w:pPr>
      <w:r>
        <w:rPr>
          <w:rFonts w:hint="eastAsia"/>
          <w:b/>
          <w:bCs/>
          <w:lang w:val="en-US" w:eastAsia="zh-CN"/>
        </w:rPr>
        <w:t>（1）存在的主要问题</w:t>
      </w:r>
    </w:p>
    <w:p>
      <w:pPr>
        <w:numPr>
          <w:ilvl w:val="0"/>
          <w:numId w:val="10"/>
        </w:numPr>
        <w:bidi w:val="0"/>
        <w:rPr>
          <w:rFonts w:hint="eastAsia"/>
          <w:lang w:val="en-US" w:eastAsia="zh-CN"/>
        </w:rPr>
      </w:pPr>
      <w:r>
        <w:rPr>
          <w:rFonts w:hint="eastAsia"/>
          <w:lang w:val="en-US" w:eastAsia="zh-CN"/>
        </w:rPr>
        <w:t>电能计量器具配备不完善，造成部分耗电数据测量不准确，不能精确计量各部分用电状况；</w:t>
      </w:r>
    </w:p>
    <w:p>
      <w:pPr>
        <w:numPr>
          <w:ilvl w:val="0"/>
          <w:numId w:val="10"/>
        </w:numPr>
        <w:bidi w:val="0"/>
        <w:rPr>
          <w:rFonts w:hint="eastAsia"/>
          <w:lang w:val="en-US" w:eastAsia="zh-CN"/>
        </w:rPr>
      </w:pPr>
      <w:r>
        <w:rPr>
          <w:rFonts w:hint="eastAsia"/>
          <w:lang w:val="en-US" w:eastAsia="zh-CN"/>
        </w:rPr>
        <w:t>数据中心运营信息机密性较高，难以收集到完整、全面的数据信息；</w:t>
      </w:r>
    </w:p>
    <w:p>
      <w:pPr>
        <w:pStyle w:val="2"/>
        <w:rPr>
          <w:rFonts w:hint="eastAsia"/>
          <w:b/>
          <w:bCs/>
          <w:lang w:val="en-US" w:eastAsia="zh-CN"/>
        </w:rPr>
      </w:pPr>
      <w:r>
        <w:rPr>
          <w:rFonts w:hint="eastAsia"/>
          <w:b/>
          <w:bCs/>
          <w:lang w:val="en-US" w:eastAsia="zh-CN"/>
        </w:rPr>
        <w:t>（2）建议</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lang w:val="en-US" w:eastAsia="zh-CN"/>
        </w:rPr>
      </w:pPr>
      <w:r>
        <w:rPr>
          <w:rFonts w:hint="eastAsia"/>
          <w:lang w:val="en-US" w:eastAsia="zh-CN"/>
        </w:rPr>
        <w:t>加强能源计量器具配备，完善计量体系建设，精准掌握用能情况。</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lang w:val="en-US" w:eastAsia="zh-CN"/>
        </w:rPr>
      </w:pPr>
      <w:r>
        <w:rPr>
          <w:rFonts w:hint="eastAsia"/>
          <w:lang w:val="en-US" w:eastAsia="zh-CN"/>
        </w:rPr>
        <w:t>加强能效对标指南技术、方法培训，熟练掌握对标统计方法。</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default"/>
          <w:b w:val="0"/>
          <w:bCs w:val="0"/>
          <w:lang w:val="en-US" w:eastAsia="zh-CN"/>
        </w:rPr>
      </w:pPr>
      <w:r>
        <w:rPr>
          <w:rFonts w:hint="eastAsia"/>
          <w:lang w:val="en-US" w:eastAsia="zh-CN"/>
        </w:rPr>
        <w:t>对标数据中心与标杆企业在满足保密性要求的前提下相互之间加强交流与沟通，定期召开能效对标会议，提高能效对标实效性，使能效对标活动对提高企业能源使用效率起到真正的指导作用。</w:t>
      </w:r>
    </w:p>
    <w:p>
      <w:pPr>
        <w:rPr>
          <w:rFonts w:hint="default"/>
          <w:lang w:val="en-US" w:eastAsia="zh-CN"/>
        </w:rPr>
      </w:pPr>
      <w:r>
        <w:rPr>
          <w:rFonts w:hint="default"/>
          <w:lang w:val="en-US" w:eastAsia="zh-CN"/>
        </w:rPr>
        <w:br w:type="page"/>
      </w:r>
    </w:p>
    <w:p>
      <w:pPr>
        <w:pStyle w:val="4"/>
        <w:bidi w:val="0"/>
        <w:rPr>
          <w:rFonts w:hint="eastAsia"/>
          <w:lang w:val="en-US" w:eastAsia="zh-CN"/>
        </w:rPr>
      </w:pPr>
      <w:bookmarkStart w:id="33" w:name="_Toc25605"/>
      <w:r>
        <w:rPr>
          <w:rFonts w:hint="eastAsia"/>
          <w:lang w:val="en-US" w:eastAsia="zh-CN"/>
        </w:rPr>
        <w:t>附录C 《数据中心 资源利用 第3部分：电能能效要求和测量方法》</w:t>
      </w:r>
      <w:bookmarkEnd w:id="33"/>
    </w:p>
    <w:p>
      <w:pPr>
        <w:pStyle w:val="17"/>
        <w:bidi w:val="0"/>
        <w:rPr>
          <w:rFonts w:hint="eastAsia" w:eastAsia="宋体"/>
          <w:lang w:eastAsia="zh-CN"/>
        </w:rPr>
      </w:pPr>
      <w:r>
        <w:rPr>
          <w:rFonts w:hint="eastAsia" w:eastAsia="宋体"/>
          <w:lang w:eastAsia="zh-CN"/>
        </w:rPr>
        <w:drawing>
          <wp:inline distT="0" distB="0" distL="114300" distR="114300">
            <wp:extent cx="5267325" cy="7451090"/>
            <wp:effectExtent l="0" t="0" r="9525" b="16510"/>
            <wp:docPr id="10" name="图片 10" descr="GBT 32910.3-2016 数据中心 资源利用 第3部分：电能能效要求和测量方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BT 32910.3-2016 数据中心 资源利用 第3部分：电能能效要求和测量方法_00"/>
                    <pic:cNvPicPr>
                      <a:picLocks noChangeAspect="1"/>
                    </pic:cNvPicPr>
                  </pic:nvPicPr>
                  <pic:blipFill>
                    <a:blip r:embed="rId15"/>
                    <a:stretch>
                      <a:fillRect/>
                    </a:stretch>
                  </pic:blipFill>
                  <pic:spPr>
                    <a:xfrm>
                      <a:off x="0" y="0"/>
                      <a:ext cx="5267325" cy="7451090"/>
                    </a:xfrm>
                    <a:prstGeom prst="rect">
                      <a:avLst/>
                    </a:prstGeom>
                  </pic:spPr>
                </pic:pic>
              </a:graphicData>
            </a:graphic>
          </wp:inline>
        </w:drawing>
      </w:r>
    </w:p>
    <w:p>
      <w:r>
        <w:br w:type="page"/>
      </w:r>
    </w:p>
    <w:p>
      <w:pPr>
        <w:pStyle w:val="17"/>
        <w:bidi w:val="0"/>
        <w:rPr>
          <w:rFonts w:hint="eastAsia" w:eastAsia="宋体"/>
          <w:lang w:eastAsia="zh-CN"/>
        </w:rPr>
      </w:pPr>
      <w:r>
        <w:rPr>
          <w:rFonts w:hint="eastAsia" w:eastAsia="宋体"/>
          <w:lang w:eastAsia="zh-CN"/>
        </w:rPr>
        <w:drawing>
          <wp:inline distT="0" distB="0" distL="114300" distR="114300">
            <wp:extent cx="5267325" cy="7451090"/>
            <wp:effectExtent l="0" t="0" r="9525" b="16510"/>
            <wp:docPr id="11" name="图片 11" descr="GBT 32910.3-2016 数据中心 资源利用 第3部分：电能能效要求和测量方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BT 32910.3-2016 数据中心 资源利用 第3部分：电能能效要求和测量方法_01"/>
                    <pic:cNvPicPr>
                      <a:picLocks noChangeAspect="1"/>
                    </pic:cNvPicPr>
                  </pic:nvPicPr>
                  <pic:blipFill>
                    <a:blip r:embed="rId16"/>
                    <a:stretch>
                      <a:fillRect/>
                    </a:stretch>
                  </pic:blipFill>
                  <pic:spPr>
                    <a:xfrm>
                      <a:off x="0" y="0"/>
                      <a:ext cx="5267325" cy="7451090"/>
                    </a:xfrm>
                    <a:prstGeom prst="rect">
                      <a:avLst/>
                    </a:prstGeom>
                  </pic:spPr>
                </pic:pic>
              </a:graphicData>
            </a:graphic>
          </wp:inline>
        </w:drawing>
      </w:r>
    </w:p>
    <w:p>
      <w:r>
        <w:br w:type="page"/>
      </w:r>
    </w:p>
    <w:p>
      <w:pPr>
        <w:pStyle w:val="17"/>
        <w:bidi w:val="0"/>
        <w:rPr>
          <w:rFonts w:hint="default"/>
          <w:lang w:val="en-US" w:eastAsia="zh-CN"/>
        </w:rPr>
      </w:pPr>
      <w:r>
        <w:rPr>
          <w:rFonts w:hint="default"/>
          <w:lang w:val="en-US" w:eastAsia="zh-CN"/>
        </w:rPr>
        <w:drawing>
          <wp:inline distT="0" distB="0" distL="114300" distR="114300">
            <wp:extent cx="5267325" cy="7451090"/>
            <wp:effectExtent l="0" t="0" r="9525" b="16510"/>
            <wp:docPr id="12" name="图片 12" descr="GBT 32910.3-2016 数据中心 资源利用 第3部分：电能能效要求和测量方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BT 32910.3-2016 数据中心 资源利用 第3部分：电能能效要求和测量方法_02"/>
                    <pic:cNvPicPr>
                      <a:picLocks noChangeAspect="1"/>
                    </pic:cNvPicPr>
                  </pic:nvPicPr>
                  <pic:blipFill>
                    <a:blip r:embed="rId17"/>
                    <a:stretch>
                      <a:fillRect/>
                    </a:stretch>
                  </pic:blipFill>
                  <pic:spPr>
                    <a:xfrm>
                      <a:off x="0" y="0"/>
                      <a:ext cx="5267325" cy="745109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79640"/>
            <wp:effectExtent l="0" t="0" r="9525" b="16510"/>
            <wp:docPr id="13" name="图片 13" descr="GBT 32910.3-2016 数据中心 资源利用 第3部分：电能能效要求和测量方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BT 32910.3-2016 数据中心 资源利用 第3部分：电能能效要求和测量方法_03"/>
                    <pic:cNvPicPr>
                      <a:picLocks noChangeAspect="1"/>
                    </pic:cNvPicPr>
                  </pic:nvPicPr>
                  <pic:blipFill>
                    <a:blip r:embed="rId18"/>
                    <a:srcRect t="2301"/>
                    <a:stretch>
                      <a:fillRect/>
                    </a:stretch>
                  </pic:blipFill>
                  <pic:spPr>
                    <a:xfrm>
                      <a:off x="0" y="0"/>
                      <a:ext cx="5267325" cy="727964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41540"/>
            <wp:effectExtent l="0" t="0" r="9525" b="16510"/>
            <wp:docPr id="14" name="图片 14" descr="GBT 32910.3-2016 数据中心 资源利用 第3部分：电能能效要求和测量方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BT 32910.3-2016 数据中心 资源利用 第3部分：电能能效要求和测量方法_04"/>
                    <pic:cNvPicPr>
                      <a:picLocks noChangeAspect="1"/>
                    </pic:cNvPicPr>
                  </pic:nvPicPr>
                  <pic:blipFill>
                    <a:blip r:embed="rId19"/>
                    <a:srcRect t="2812"/>
                    <a:stretch>
                      <a:fillRect/>
                    </a:stretch>
                  </pic:blipFill>
                  <pic:spPr>
                    <a:xfrm>
                      <a:off x="0" y="0"/>
                      <a:ext cx="5267325" cy="724154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49795"/>
            <wp:effectExtent l="0" t="0" r="9525" b="8255"/>
            <wp:docPr id="15" name="图片 15" descr="GBT 32910.3-2016 数据中心 资源利用 第3部分：电能能效要求和测量方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BT 32910.3-2016 数据中心 资源利用 第3部分：电能能效要求和测量方法_05"/>
                    <pic:cNvPicPr>
                      <a:picLocks noChangeAspect="1"/>
                    </pic:cNvPicPr>
                  </pic:nvPicPr>
                  <pic:blipFill>
                    <a:blip r:embed="rId20"/>
                    <a:srcRect t="2702"/>
                    <a:stretch>
                      <a:fillRect/>
                    </a:stretch>
                  </pic:blipFill>
                  <pic:spPr>
                    <a:xfrm>
                      <a:off x="0" y="0"/>
                      <a:ext cx="5267325" cy="724979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79640"/>
            <wp:effectExtent l="0" t="0" r="9525" b="16510"/>
            <wp:docPr id="17" name="图片 17" descr="GBT 32910.3-2016 数据中心 资源利用 第3部分：电能能效要求和测量方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BT 32910.3-2016 数据中心 资源利用 第3部分：电能能效要求和测量方法_06"/>
                    <pic:cNvPicPr>
                      <a:picLocks noChangeAspect="1"/>
                    </pic:cNvPicPr>
                  </pic:nvPicPr>
                  <pic:blipFill>
                    <a:blip r:embed="rId21"/>
                    <a:srcRect t="2301"/>
                    <a:stretch>
                      <a:fillRect/>
                    </a:stretch>
                  </pic:blipFill>
                  <pic:spPr>
                    <a:xfrm>
                      <a:off x="0" y="0"/>
                      <a:ext cx="5267325" cy="727964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70115"/>
            <wp:effectExtent l="0" t="0" r="9525" b="6985"/>
            <wp:docPr id="18" name="图片 18" descr="GBT 32910.3-2016 数据中心 资源利用 第3部分：电能能效要求和测量方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BT 32910.3-2016 数据中心 资源利用 第3部分：电能能效要求和测量方法_07"/>
                    <pic:cNvPicPr>
                      <a:picLocks noChangeAspect="1"/>
                    </pic:cNvPicPr>
                  </pic:nvPicPr>
                  <pic:blipFill>
                    <a:blip r:embed="rId22"/>
                    <a:srcRect t="2429"/>
                    <a:stretch>
                      <a:fillRect/>
                    </a:stretch>
                  </pic:blipFill>
                  <pic:spPr>
                    <a:xfrm>
                      <a:off x="0" y="0"/>
                      <a:ext cx="5267325" cy="727011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70115"/>
            <wp:effectExtent l="0" t="0" r="9525" b="6985"/>
            <wp:docPr id="19" name="图片 19" descr="GBT 32910.3-2016 数据中心 资源利用 第3部分：电能能效要求和测量方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BT 32910.3-2016 数据中心 资源利用 第3部分：电能能效要求和测量方法_08"/>
                    <pic:cNvPicPr>
                      <a:picLocks noChangeAspect="1"/>
                    </pic:cNvPicPr>
                  </pic:nvPicPr>
                  <pic:blipFill>
                    <a:blip r:embed="rId23"/>
                    <a:srcRect t="2429"/>
                    <a:stretch>
                      <a:fillRect/>
                    </a:stretch>
                  </pic:blipFill>
                  <pic:spPr>
                    <a:xfrm>
                      <a:off x="0" y="0"/>
                      <a:ext cx="5267325" cy="727011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79640"/>
            <wp:effectExtent l="0" t="0" r="9525" b="16510"/>
            <wp:docPr id="20" name="图片 20" descr="GBT 32910.3-2016 数据中心 资源利用 第3部分：电能能效要求和测量方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BT 32910.3-2016 数据中心 资源利用 第3部分：电能能效要求和测量方法_09"/>
                    <pic:cNvPicPr>
                      <a:picLocks noChangeAspect="1"/>
                    </pic:cNvPicPr>
                  </pic:nvPicPr>
                  <pic:blipFill>
                    <a:blip r:embed="rId24"/>
                    <a:srcRect t="2301"/>
                    <a:stretch>
                      <a:fillRect/>
                    </a:stretch>
                  </pic:blipFill>
                  <pic:spPr>
                    <a:xfrm>
                      <a:off x="0" y="0"/>
                      <a:ext cx="5267325" cy="727964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251065"/>
            <wp:effectExtent l="0" t="0" r="9525" b="6985"/>
            <wp:docPr id="21" name="图片 21" descr="GBT 32910.3-2016 数据中心 资源利用 第3部分：电能能效要求和测量方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BT 32910.3-2016 数据中心 资源利用 第3部分：电能能效要求和测量方法_10"/>
                    <pic:cNvPicPr>
                      <a:picLocks noChangeAspect="1"/>
                    </pic:cNvPicPr>
                  </pic:nvPicPr>
                  <pic:blipFill>
                    <a:blip r:embed="rId25"/>
                    <a:srcRect t="2685"/>
                    <a:stretch>
                      <a:fillRect/>
                    </a:stretch>
                  </pic:blipFill>
                  <pic:spPr>
                    <a:xfrm>
                      <a:off x="0" y="0"/>
                      <a:ext cx="5267325" cy="725106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451090"/>
            <wp:effectExtent l="0" t="0" r="9525" b="16510"/>
            <wp:docPr id="22" name="图片 22" descr="GBT 32910.3-2016 数据中心 资源利用 第3部分：电能能效要求和测量方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BT 32910.3-2016 数据中心 资源利用 第3部分：电能能效要求和测量方法_11"/>
                    <pic:cNvPicPr>
                      <a:picLocks noChangeAspect="1"/>
                    </pic:cNvPicPr>
                  </pic:nvPicPr>
                  <pic:blipFill>
                    <a:blip r:embed="rId26"/>
                    <a:stretch>
                      <a:fillRect/>
                    </a:stretch>
                  </pic:blipFill>
                  <pic:spPr>
                    <a:xfrm>
                      <a:off x="0" y="0"/>
                      <a:ext cx="5267325" cy="745109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7"/>
        <w:bidi w:val="0"/>
        <w:rPr>
          <w:rFonts w:hint="default"/>
          <w:lang w:val="en-US" w:eastAsia="zh-CN"/>
        </w:rPr>
      </w:pPr>
      <w:r>
        <w:rPr>
          <w:rFonts w:hint="default"/>
          <w:lang w:val="en-US" w:eastAsia="zh-CN"/>
        </w:rPr>
        <w:drawing>
          <wp:inline distT="0" distB="0" distL="114300" distR="114300">
            <wp:extent cx="5267325" cy="7451090"/>
            <wp:effectExtent l="0" t="0" r="9525" b="16510"/>
            <wp:docPr id="23" name="图片 23" descr="GBT 32910.3-2016 数据中心 资源利用 第3部分：电能能效要求和测量方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BT 32910.3-2016 数据中心 资源利用 第3部分：电能能效要求和测量方法_12"/>
                    <pic:cNvPicPr>
                      <a:picLocks noChangeAspect="1"/>
                    </pic:cNvPicPr>
                  </pic:nvPicPr>
                  <pic:blipFill>
                    <a:blip r:embed="rId27"/>
                    <a:stretch>
                      <a:fillRect/>
                    </a:stretch>
                  </pic:blipFill>
                  <pic:spPr>
                    <a:xfrm>
                      <a:off x="0" y="0"/>
                      <a:ext cx="5267325" cy="7451090"/>
                    </a:xfrm>
                    <a:prstGeom prst="rect">
                      <a:avLst/>
                    </a:prstGeom>
                  </pic:spPr>
                </pic:pic>
              </a:graphicData>
            </a:graphic>
          </wp:inline>
        </w:drawing>
      </w:r>
    </w:p>
    <w:sectPr>
      <w:footerReference r:id="rId7" w:type="default"/>
      <w:pgSz w:w="11906" w:h="16838"/>
      <w:pgMar w:top="1440" w:right="1800" w:bottom="1440" w:left="1800"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240" w:lineRule="auto"/>
        <w:ind w:firstLine="560"/>
      </w:pPr>
      <w:r>
        <w:separator/>
      </w:r>
    </w:p>
  </w:footnote>
  <w:footnote w:type="continuationSeparator" w:id="7">
    <w:p>
      <w:pPr>
        <w:spacing w:before="0" w:after="0" w:line="240" w:lineRule="auto"/>
        <w:ind w:firstLine="560"/>
      </w:pPr>
      <w:r>
        <w:continuationSeparator/>
      </w:r>
    </w:p>
  </w:footnote>
  <w:footnote w:id="0">
    <w:p>
      <w:pPr>
        <w:pStyle w:val="10"/>
        <w:snapToGrid w:val="0"/>
        <w:rPr>
          <w:rFonts w:hint="eastAsia" w:eastAsia="仿宋_GB2312"/>
          <w:lang w:eastAsia="zh-CN"/>
        </w:rPr>
      </w:pPr>
      <w:r>
        <w:rPr>
          <w:rStyle w:val="15"/>
        </w:rPr>
        <w:footnoteRef/>
      </w:r>
      <w:r>
        <w:t xml:space="preserve"> </w:t>
      </w:r>
      <w:r>
        <w:rPr>
          <w:rFonts w:hint="eastAsia"/>
          <w:lang w:eastAsia="zh-CN"/>
        </w:rPr>
        <w:t>按照</w:t>
      </w:r>
      <w:r>
        <w:rPr>
          <w:rFonts w:hint="eastAsia"/>
        </w:rPr>
        <w:t>《广东省5G基站和数据中心总体布局规划（2021-2025年）》</w:t>
      </w:r>
      <w:r>
        <w:rPr>
          <w:rFonts w:hint="eastAsia"/>
          <w:lang w:eastAsia="zh-CN"/>
        </w:rPr>
        <w:t>规划目标，到</w:t>
      </w:r>
      <w:r>
        <w:rPr>
          <w:rFonts w:hint="eastAsia"/>
          <w:lang w:val="en-US" w:eastAsia="zh-CN"/>
        </w:rPr>
        <w:t>2022年底，规划建设在用折合标准机架数累计约47万个</w:t>
      </w:r>
      <w:r>
        <w:rPr>
          <w:rFonts w:hint="eastAsia"/>
          <w:lang w:eastAsia="zh-CN"/>
        </w:rPr>
        <w:t>。</w:t>
      </w:r>
    </w:p>
  </w:footnote>
  <w:footnote w:id="1">
    <w:p>
      <w:pPr>
        <w:pStyle w:val="10"/>
        <w:snapToGrid w:val="0"/>
        <w:rPr>
          <w:rFonts w:hint="eastAsia" w:eastAsia="仿宋_GB2312"/>
          <w:lang w:eastAsia="zh-CN"/>
        </w:rPr>
      </w:pPr>
      <w:r>
        <w:rPr>
          <w:rStyle w:val="15"/>
        </w:rPr>
        <w:footnoteRef/>
      </w:r>
      <w:r>
        <w:rPr>
          <w:rFonts w:hint="eastAsia"/>
          <w:lang w:eastAsia="zh-CN"/>
        </w:rPr>
        <w:t>数据来源：中国信通院</w:t>
      </w:r>
    </w:p>
  </w:footnote>
  <w:footnote w:id="2">
    <w:p>
      <w:pPr>
        <w:pStyle w:val="10"/>
        <w:snapToGrid w:val="0"/>
      </w:pPr>
      <w:r>
        <w:rPr>
          <w:rStyle w:val="15"/>
        </w:rPr>
        <w:footnoteRef/>
      </w:r>
      <w:r>
        <w:t xml:space="preserve"> </w:t>
      </w:r>
      <w:r>
        <w:rPr>
          <w:rFonts w:hint="eastAsia"/>
          <w:lang w:val="en-US" w:eastAsia="zh-CN"/>
        </w:rPr>
        <w:t>电能比定义与计算参照国家标准《数据中心能效限定值及能效等级》。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center"/>
    </w:pPr>
    <w:r>
      <w:rPr>
        <w:rFonts w:hint="eastAsia"/>
      </w:rPr>
      <w:t>广东省数据中心行业“十四五”能效对标指南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3E5700"/>
    <w:multiLevelType w:val="multilevel"/>
    <w:tmpl w:val="953E5700"/>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
    <w:nsid w:val="9CA7F6CB"/>
    <w:multiLevelType w:val="singleLevel"/>
    <w:tmpl w:val="9CA7F6CB"/>
    <w:lvl w:ilvl="0" w:tentative="0">
      <w:start w:val="1"/>
      <w:numFmt w:val="decimal"/>
      <w:suff w:val="nothing"/>
      <w:lvlText w:val="（%1）"/>
      <w:lvlJc w:val="left"/>
    </w:lvl>
  </w:abstractNum>
  <w:abstractNum w:abstractNumId="2">
    <w:nsid w:val="9EB4A9C3"/>
    <w:multiLevelType w:val="singleLevel"/>
    <w:tmpl w:val="9EB4A9C3"/>
    <w:lvl w:ilvl="0" w:tentative="0">
      <w:start w:val="3"/>
      <w:numFmt w:val="decimal"/>
      <w:suff w:val="nothing"/>
      <w:lvlText w:val="（%1）"/>
      <w:lvlJc w:val="left"/>
    </w:lvl>
  </w:abstractNum>
  <w:abstractNum w:abstractNumId="3">
    <w:nsid w:val="AEE73F90"/>
    <w:multiLevelType w:val="singleLevel"/>
    <w:tmpl w:val="AEE73F90"/>
    <w:lvl w:ilvl="0" w:tentative="0">
      <w:start w:val="1"/>
      <w:numFmt w:val="bullet"/>
      <w:lvlText w:val=""/>
      <w:lvlJc w:val="left"/>
      <w:pPr>
        <w:ind w:left="420" w:hanging="420"/>
      </w:pPr>
      <w:rPr>
        <w:rFonts w:hint="default" w:ascii="Wingdings" w:hAnsi="Wingdings"/>
      </w:rPr>
    </w:lvl>
  </w:abstractNum>
  <w:abstractNum w:abstractNumId="4">
    <w:nsid w:val="D0AF81C3"/>
    <w:multiLevelType w:val="singleLevel"/>
    <w:tmpl w:val="D0AF81C3"/>
    <w:lvl w:ilvl="0" w:tentative="0">
      <w:start w:val="1"/>
      <w:numFmt w:val="bullet"/>
      <w:lvlText w:val=""/>
      <w:lvlJc w:val="left"/>
      <w:pPr>
        <w:ind w:left="420" w:hanging="420"/>
      </w:pPr>
      <w:rPr>
        <w:rFonts w:hint="default" w:ascii="Wingdings" w:hAnsi="Wingdings"/>
      </w:rPr>
    </w:lvl>
  </w:abstractNum>
  <w:abstractNum w:abstractNumId="5">
    <w:nsid w:val="D9A1F960"/>
    <w:multiLevelType w:val="singleLevel"/>
    <w:tmpl w:val="D9A1F960"/>
    <w:lvl w:ilvl="0" w:tentative="0">
      <w:start w:val="1"/>
      <w:numFmt w:val="decimal"/>
      <w:suff w:val="nothing"/>
      <w:lvlText w:val="（%1）"/>
      <w:lvlJc w:val="left"/>
    </w:lvl>
  </w:abstractNum>
  <w:abstractNum w:abstractNumId="6">
    <w:nsid w:val="0BA8E211"/>
    <w:multiLevelType w:val="singleLevel"/>
    <w:tmpl w:val="0BA8E211"/>
    <w:lvl w:ilvl="0" w:tentative="0">
      <w:start w:val="1"/>
      <w:numFmt w:val="lowerLetter"/>
      <w:lvlText w:val="%1."/>
      <w:lvlJc w:val="left"/>
      <w:pPr>
        <w:ind w:left="425" w:hanging="425"/>
      </w:pPr>
      <w:rPr>
        <w:rFonts w:hint="default"/>
      </w:rPr>
    </w:lvl>
  </w:abstractNum>
  <w:abstractNum w:abstractNumId="7">
    <w:nsid w:val="44C50F90"/>
    <w:multiLevelType w:val="multilevel"/>
    <w:tmpl w:val="44C50F90"/>
    <w:lvl w:ilvl="0" w:tentative="0">
      <w:start w:val="1"/>
      <w:numFmt w:val="lowerLetter"/>
      <w:pStyle w:val="21"/>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8">
    <w:nsid w:val="6D6AEE63"/>
    <w:multiLevelType w:val="singleLevel"/>
    <w:tmpl w:val="6D6AEE63"/>
    <w:lvl w:ilvl="0" w:tentative="0">
      <w:start w:val="1"/>
      <w:numFmt w:val="decimal"/>
      <w:suff w:val="nothing"/>
      <w:lvlText w:val="（%1）"/>
      <w:lvlJc w:val="left"/>
    </w:lvl>
  </w:abstractNum>
  <w:abstractNum w:abstractNumId="9">
    <w:nsid w:val="6DBF04F4"/>
    <w:multiLevelType w:val="multilevel"/>
    <w:tmpl w:val="6DBF04F4"/>
    <w:lvl w:ilvl="0" w:tentative="0">
      <w:start w:val="1"/>
      <w:numFmt w:val="none"/>
      <w:pStyle w:val="26"/>
      <w:lvlText w:val="%1注："/>
      <w:lvlJc w:val="left"/>
      <w:pPr>
        <w:ind w:left="1084" w:hanging="374"/>
      </w:pPr>
      <w:rPr>
        <w:rFonts w:hint="eastAsia" w:ascii="黑体" w:eastAsia="黑体"/>
        <w:b w:val="0"/>
        <w:i w:val="0"/>
        <w:sz w:val="18"/>
        <w:lang w:val="en-US"/>
      </w:rPr>
    </w:lvl>
    <w:lvl w:ilvl="1" w:tentative="0">
      <w:start w:val="1"/>
      <w:numFmt w:val="lowerLetter"/>
      <w:lvlText w:val="%2)"/>
      <w:lvlJc w:val="left"/>
      <w:pPr>
        <w:tabs>
          <w:tab w:val="left" w:pos="-1836"/>
        </w:tabs>
        <w:ind w:left="-2250" w:hanging="363"/>
      </w:pPr>
      <w:rPr>
        <w:rFonts w:hint="eastAsia"/>
      </w:rPr>
    </w:lvl>
    <w:lvl w:ilvl="2" w:tentative="0">
      <w:start w:val="1"/>
      <w:numFmt w:val="lowerRoman"/>
      <w:lvlText w:val="%3."/>
      <w:lvlJc w:val="right"/>
      <w:pPr>
        <w:tabs>
          <w:tab w:val="left" w:pos="-1836"/>
        </w:tabs>
        <w:ind w:left="-2250" w:hanging="363"/>
      </w:pPr>
      <w:rPr>
        <w:rFonts w:hint="eastAsia"/>
      </w:rPr>
    </w:lvl>
    <w:lvl w:ilvl="3" w:tentative="0">
      <w:start w:val="1"/>
      <w:numFmt w:val="decimal"/>
      <w:lvlText w:val="%4."/>
      <w:lvlJc w:val="left"/>
      <w:pPr>
        <w:tabs>
          <w:tab w:val="left" w:pos="-1836"/>
        </w:tabs>
        <w:ind w:left="-2250" w:hanging="363"/>
      </w:pPr>
      <w:rPr>
        <w:rFonts w:hint="eastAsia"/>
      </w:rPr>
    </w:lvl>
    <w:lvl w:ilvl="4" w:tentative="0">
      <w:start w:val="1"/>
      <w:numFmt w:val="lowerLetter"/>
      <w:lvlText w:val="%5)"/>
      <w:lvlJc w:val="left"/>
      <w:pPr>
        <w:tabs>
          <w:tab w:val="left" w:pos="-1836"/>
        </w:tabs>
        <w:ind w:left="-2250" w:hanging="363"/>
      </w:pPr>
      <w:rPr>
        <w:rFonts w:hint="eastAsia"/>
      </w:rPr>
    </w:lvl>
    <w:lvl w:ilvl="5" w:tentative="0">
      <w:start w:val="1"/>
      <w:numFmt w:val="lowerRoman"/>
      <w:lvlText w:val="%6."/>
      <w:lvlJc w:val="right"/>
      <w:pPr>
        <w:tabs>
          <w:tab w:val="left" w:pos="-1836"/>
        </w:tabs>
        <w:ind w:left="-2250" w:hanging="363"/>
      </w:pPr>
      <w:rPr>
        <w:rFonts w:hint="eastAsia"/>
      </w:rPr>
    </w:lvl>
    <w:lvl w:ilvl="6" w:tentative="0">
      <w:start w:val="1"/>
      <w:numFmt w:val="decimal"/>
      <w:lvlText w:val="%7."/>
      <w:lvlJc w:val="left"/>
      <w:pPr>
        <w:tabs>
          <w:tab w:val="left" w:pos="-1836"/>
        </w:tabs>
        <w:ind w:left="-2250" w:hanging="363"/>
      </w:pPr>
      <w:rPr>
        <w:rFonts w:hint="eastAsia"/>
      </w:rPr>
    </w:lvl>
    <w:lvl w:ilvl="7" w:tentative="0">
      <w:start w:val="1"/>
      <w:numFmt w:val="lowerLetter"/>
      <w:lvlText w:val="%8)"/>
      <w:lvlJc w:val="left"/>
      <w:pPr>
        <w:tabs>
          <w:tab w:val="left" w:pos="-1836"/>
        </w:tabs>
        <w:ind w:left="-2250" w:hanging="363"/>
      </w:pPr>
      <w:rPr>
        <w:rFonts w:hint="eastAsia"/>
      </w:rPr>
    </w:lvl>
    <w:lvl w:ilvl="8" w:tentative="0">
      <w:start w:val="1"/>
      <w:numFmt w:val="lowerRoman"/>
      <w:lvlText w:val="%9."/>
      <w:lvlJc w:val="right"/>
      <w:pPr>
        <w:tabs>
          <w:tab w:val="left" w:pos="-1836"/>
        </w:tabs>
        <w:ind w:left="-2250" w:hanging="363"/>
      </w:pPr>
      <w:rPr>
        <w:rFonts w:hint="eastAsia"/>
      </w:rPr>
    </w:lvl>
  </w:abstractNum>
  <w:num w:numId="1">
    <w:abstractNumId w:val="7"/>
  </w:num>
  <w:num w:numId="2">
    <w:abstractNumId w:val="9"/>
  </w:num>
  <w:num w:numId="3">
    <w:abstractNumId w:val="1"/>
  </w:num>
  <w:num w:numId="4">
    <w:abstractNumId w:val="3"/>
  </w:num>
  <w:num w:numId="5">
    <w:abstractNumId w:val="6"/>
  </w:num>
  <w:num w:numId="6">
    <w:abstractNumId w:val="0"/>
  </w:num>
  <w:num w:numId="7">
    <w:abstractNumId w:val="2"/>
  </w:num>
  <w:num w:numId="8">
    <w:abstractNumId w:val="5"/>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6"/>
    <w:footnote w:id="7"/>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FC3F43"/>
    <w:rsid w:val="0000011E"/>
    <w:rsid w:val="000C6457"/>
    <w:rsid w:val="0012593E"/>
    <w:rsid w:val="001C528C"/>
    <w:rsid w:val="002160B8"/>
    <w:rsid w:val="002C5802"/>
    <w:rsid w:val="005D7357"/>
    <w:rsid w:val="00815288"/>
    <w:rsid w:val="00915F1E"/>
    <w:rsid w:val="009C14BC"/>
    <w:rsid w:val="00BA65B2"/>
    <w:rsid w:val="00BE7AE6"/>
    <w:rsid w:val="00C77C01"/>
    <w:rsid w:val="00CD2FE2"/>
    <w:rsid w:val="00E7214C"/>
    <w:rsid w:val="00E92D0F"/>
    <w:rsid w:val="00EA24D1"/>
    <w:rsid w:val="00F11DA6"/>
    <w:rsid w:val="01045235"/>
    <w:rsid w:val="010674CE"/>
    <w:rsid w:val="011B4384"/>
    <w:rsid w:val="0122636C"/>
    <w:rsid w:val="01340443"/>
    <w:rsid w:val="013F07ED"/>
    <w:rsid w:val="0142511F"/>
    <w:rsid w:val="01820D7F"/>
    <w:rsid w:val="018411EC"/>
    <w:rsid w:val="01860F28"/>
    <w:rsid w:val="01A2170C"/>
    <w:rsid w:val="01B03153"/>
    <w:rsid w:val="01B406C9"/>
    <w:rsid w:val="01B6101D"/>
    <w:rsid w:val="01BE4624"/>
    <w:rsid w:val="01CD0159"/>
    <w:rsid w:val="01D70B38"/>
    <w:rsid w:val="01DD6E58"/>
    <w:rsid w:val="01E02DD1"/>
    <w:rsid w:val="01EF2DB1"/>
    <w:rsid w:val="0203200C"/>
    <w:rsid w:val="02061CCC"/>
    <w:rsid w:val="021B0FAC"/>
    <w:rsid w:val="0233309D"/>
    <w:rsid w:val="023B594E"/>
    <w:rsid w:val="02413F1F"/>
    <w:rsid w:val="02462457"/>
    <w:rsid w:val="02564CF6"/>
    <w:rsid w:val="02636B5D"/>
    <w:rsid w:val="02641A6D"/>
    <w:rsid w:val="028E14E5"/>
    <w:rsid w:val="028F7177"/>
    <w:rsid w:val="02A01A50"/>
    <w:rsid w:val="02A91704"/>
    <w:rsid w:val="02AF177B"/>
    <w:rsid w:val="02B56C78"/>
    <w:rsid w:val="02BA6329"/>
    <w:rsid w:val="02C03F16"/>
    <w:rsid w:val="02CE54A1"/>
    <w:rsid w:val="02CE7618"/>
    <w:rsid w:val="02D67C0B"/>
    <w:rsid w:val="02F40767"/>
    <w:rsid w:val="02FA0433"/>
    <w:rsid w:val="03160700"/>
    <w:rsid w:val="03263AF5"/>
    <w:rsid w:val="03536159"/>
    <w:rsid w:val="035C335A"/>
    <w:rsid w:val="035D05BD"/>
    <w:rsid w:val="036B175D"/>
    <w:rsid w:val="03907EA7"/>
    <w:rsid w:val="039F7DAD"/>
    <w:rsid w:val="03A31205"/>
    <w:rsid w:val="03C32A23"/>
    <w:rsid w:val="03CB0A11"/>
    <w:rsid w:val="03DB115F"/>
    <w:rsid w:val="03F56183"/>
    <w:rsid w:val="03FD1519"/>
    <w:rsid w:val="040C12F6"/>
    <w:rsid w:val="0411000C"/>
    <w:rsid w:val="04272E47"/>
    <w:rsid w:val="04296FD0"/>
    <w:rsid w:val="043B70E1"/>
    <w:rsid w:val="044F3A2E"/>
    <w:rsid w:val="04675ACA"/>
    <w:rsid w:val="047F4EE4"/>
    <w:rsid w:val="048463C5"/>
    <w:rsid w:val="048621A0"/>
    <w:rsid w:val="04881251"/>
    <w:rsid w:val="04891982"/>
    <w:rsid w:val="04B612C8"/>
    <w:rsid w:val="04CF0DF8"/>
    <w:rsid w:val="04D527E0"/>
    <w:rsid w:val="04FB33DE"/>
    <w:rsid w:val="051B67D4"/>
    <w:rsid w:val="052B0336"/>
    <w:rsid w:val="053637ED"/>
    <w:rsid w:val="05403EBE"/>
    <w:rsid w:val="054204CF"/>
    <w:rsid w:val="054E6B8F"/>
    <w:rsid w:val="05543A3D"/>
    <w:rsid w:val="0560336E"/>
    <w:rsid w:val="05667594"/>
    <w:rsid w:val="05695515"/>
    <w:rsid w:val="05782705"/>
    <w:rsid w:val="057A423E"/>
    <w:rsid w:val="057B7C1B"/>
    <w:rsid w:val="05841650"/>
    <w:rsid w:val="059126E0"/>
    <w:rsid w:val="059F76AA"/>
    <w:rsid w:val="05AB7A9C"/>
    <w:rsid w:val="05B4696B"/>
    <w:rsid w:val="05C03EF5"/>
    <w:rsid w:val="05EB7311"/>
    <w:rsid w:val="063772BA"/>
    <w:rsid w:val="066F30FE"/>
    <w:rsid w:val="067139E9"/>
    <w:rsid w:val="067654D1"/>
    <w:rsid w:val="06795896"/>
    <w:rsid w:val="067D1F85"/>
    <w:rsid w:val="06AD01B2"/>
    <w:rsid w:val="06B025D8"/>
    <w:rsid w:val="06C131AA"/>
    <w:rsid w:val="06D40E0B"/>
    <w:rsid w:val="06D675A5"/>
    <w:rsid w:val="06DF4C2F"/>
    <w:rsid w:val="07100904"/>
    <w:rsid w:val="07123CA1"/>
    <w:rsid w:val="071F5576"/>
    <w:rsid w:val="073B79B2"/>
    <w:rsid w:val="074C44A0"/>
    <w:rsid w:val="074E7B15"/>
    <w:rsid w:val="075201E4"/>
    <w:rsid w:val="07641282"/>
    <w:rsid w:val="076853C3"/>
    <w:rsid w:val="077936E3"/>
    <w:rsid w:val="07A03AEC"/>
    <w:rsid w:val="07A27AAC"/>
    <w:rsid w:val="07A43CEB"/>
    <w:rsid w:val="07B6779E"/>
    <w:rsid w:val="07B72C74"/>
    <w:rsid w:val="07C62027"/>
    <w:rsid w:val="07E0377F"/>
    <w:rsid w:val="07F516A0"/>
    <w:rsid w:val="07FC6B9B"/>
    <w:rsid w:val="08162781"/>
    <w:rsid w:val="0820023D"/>
    <w:rsid w:val="0838751B"/>
    <w:rsid w:val="0857743A"/>
    <w:rsid w:val="08605CAB"/>
    <w:rsid w:val="086076B0"/>
    <w:rsid w:val="086E317F"/>
    <w:rsid w:val="086F51AB"/>
    <w:rsid w:val="08863C2A"/>
    <w:rsid w:val="088D6329"/>
    <w:rsid w:val="089717EE"/>
    <w:rsid w:val="08B300BF"/>
    <w:rsid w:val="08B55D4B"/>
    <w:rsid w:val="08E45048"/>
    <w:rsid w:val="08F15EBD"/>
    <w:rsid w:val="0931008F"/>
    <w:rsid w:val="09480087"/>
    <w:rsid w:val="094E1A25"/>
    <w:rsid w:val="095535B4"/>
    <w:rsid w:val="097C02F6"/>
    <w:rsid w:val="09964E2C"/>
    <w:rsid w:val="099E1EFE"/>
    <w:rsid w:val="099E3A67"/>
    <w:rsid w:val="09A5028B"/>
    <w:rsid w:val="09A8472A"/>
    <w:rsid w:val="09B612A7"/>
    <w:rsid w:val="09B843DD"/>
    <w:rsid w:val="09C045D2"/>
    <w:rsid w:val="09E12663"/>
    <w:rsid w:val="09EA5F38"/>
    <w:rsid w:val="09F17CEC"/>
    <w:rsid w:val="09FE6399"/>
    <w:rsid w:val="0A0E4B45"/>
    <w:rsid w:val="0A226C0D"/>
    <w:rsid w:val="0A3C35EB"/>
    <w:rsid w:val="0A4F0074"/>
    <w:rsid w:val="0A66684B"/>
    <w:rsid w:val="0A677F74"/>
    <w:rsid w:val="0A9A0327"/>
    <w:rsid w:val="0ACB7BFC"/>
    <w:rsid w:val="0AD57176"/>
    <w:rsid w:val="0B294BD1"/>
    <w:rsid w:val="0B341BA7"/>
    <w:rsid w:val="0B532929"/>
    <w:rsid w:val="0B6109D2"/>
    <w:rsid w:val="0B767781"/>
    <w:rsid w:val="0B7E34EC"/>
    <w:rsid w:val="0BCB159D"/>
    <w:rsid w:val="0BE87ED7"/>
    <w:rsid w:val="0BEA3FC8"/>
    <w:rsid w:val="0C1D20EC"/>
    <w:rsid w:val="0C5344E3"/>
    <w:rsid w:val="0C592087"/>
    <w:rsid w:val="0C611D32"/>
    <w:rsid w:val="0C711515"/>
    <w:rsid w:val="0C720930"/>
    <w:rsid w:val="0C742B13"/>
    <w:rsid w:val="0CA32B0B"/>
    <w:rsid w:val="0CA71071"/>
    <w:rsid w:val="0CCE1039"/>
    <w:rsid w:val="0CD94805"/>
    <w:rsid w:val="0CF30046"/>
    <w:rsid w:val="0D316DFE"/>
    <w:rsid w:val="0D354ECD"/>
    <w:rsid w:val="0D441ACF"/>
    <w:rsid w:val="0D455FB4"/>
    <w:rsid w:val="0D4E1EB7"/>
    <w:rsid w:val="0D506335"/>
    <w:rsid w:val="0D5E587D"/>
    <w:rsid w:val="0D624A7A"/>
    <w:rsid w:val="0D67422B"/>
    <w:rsid w:val="0D86683B"/>
    <w:rsid w:val="0D965392"/>
    <w:rsid w:val="0DA11AE8"/>
    <w:rsid w:val="0DAE32EA"/>
    <w:rsid w:val="0DB7673A"/>
    <w:rsid w:val="0DCF19AE"/>
    <w:rsid w:val="0DD41914"/>
    <w:rsid w:val="0DD60870"/>
    <w:rsid w:val="0DEF4818"/>
    <w:rsid w:val="0DFD4DEE"/>
    <w:rsid w:val="0E0552E9"/>
    <w:rsid w:val="0E1D18A0"/>
    <w:rsid w:val="0E1E7900"/>
    <w:rsid w:val="0E3208F5"/>
    <w:rsid w:val="0E3D378C"/>
    <w:rsid w:val="0E4B6318"/>
    <w:rsid w:val="0E555571"/>
    <w:rsid w:val="0E676B7A"/>
    <w:rsid w:val="0E7008E6"/>
    <w:rsid w:val="0E8C5F92"/>
    <w:rsid w:val="0E927E4E"/>
    <w:rsid w:val="0E9554D8"/>
    <w:rsid w:val="0E970533"/>
    <w:rsid w:val="0EBA276C"/>
    <w:rsid w:val="0ED058AE"/>
    <w:rsid w:val="0ED0684C"/>
    <w:rsid w:val="0EEA25F3"/>
    <w:rsid w:val="0F161A98"/>
    <w:rsid w:val="0F1C7000"/>
    <w:rsid w:val="0F244F5A"/>
    <w:rsid w:val="0F2C60D8"/>
    <w:rsid w:val="0F3C7816"/>
    <w:rsid w:val="0F3D245A"/>
    <w:rsid w:val="0F427DE3"/>
    <w:rsid w:val="0F4A696A"/>
    <w:rsid w:val="0F5259B6"/>
    <w:rsid w:val="0F6131D2"/>
    <w:rsid w:val="0F6A6ACE"/>
    <w:rsid w:val="0F875A5A"/>
    <w:rsid w:val="0FAE5E02"/>
    <w:rsid w:val="0FB76A40"/>
    <w:rsid w:val="0FC40F54"/>
    <w:rsid w:val="0FC65E11"/>
    <w:rsid w:val="0FD64EA8"/>
    <w:rsid w:val="0FE9111D"/>
    <w:rsid w:val="0FF81E86"/>
    <w:rsid w:val="0FFA1122"/>
    <w:rsid w:val="0FFE7EA9"/>
    <w:rsid w:val="102837E9"/>
    <w:rsid w:val="102A5B0D"/>
    <w:rsid w:val="10340837"/>
    <w:rsid w:val="104C4AB6"/>
    <w:rsid w:val="106F17E3"/>
    <w:rsid w:val="108F7248"/>
    <w:rsid w:val="10926546"/>
    <w:rsid w:val="109C6773"/>
    <w:rsid w:val="10AC71E8"/>
    <w:rsid w:val="10E7199E"/>
    <w:rsid w:val="10FE226F"/>
    <w:rsid w:val="110B0E27"/>
    <w:rsid w:val="110E3852"/>
    <w:rsid w:val="111A3342"/>
    <w:rsid w:val="11240FED"/>
    <w:rsid w:val="112E1F59"/>
    <w:rsid w:val="11464349"/>
    <w:rsid w:val="115C4FB9"/>
    <w:rsid w:val="116A70DA"/>
    <w:rsid w:val="116C400F"/>
    <w:rsid w:val="116E0C4B"/>
    <w:rsid w:val="119F2D9C"/>
    <w:rsid w:val="11AA49B4"/>
    <w:rsid w:val="11D166FD"/>
    <w:rsid w:val="11D63DB1"/>
    <w:rsid w:val="11E4398A"/>
    <w:rsid w:val="11E54886"/>
    <w:rsid w:val="120726DA"/>
    <w:rsid w:val="120B0A8A"/>
    <w:rsid w:val="12570320"/>
    <w:rsid w:val="12690A73"/>
    <w:rsid w:val="126B3852"/>
    <w:rsid w:val="127A0515"/>
    <w:rsid w:val="127C789E"/>
    <w:rsid w:val="12873E57"/>
    <w:rsid w:val="12904278"/>
    <w:rsid w:val="12A32907"/>
    <w:rsid w:val="12B64FB7"/>
    <w:rsid w:val="12B9011B"/>
    <w:rsid w:val="12C84F0B"/>
    <w:rsid w:val="12D156EB"/>
    <w:rsid w:val="12D73819"/>
    <w:rsid w:val="12E41118"/>
    <w:rsid w:val="12E6020C"/>
    <w:rsid w:val="12E825AA"/>
    <w:rsid w:val="12F651E9"/>
    <w:rsid w:val="133F2B24"/>
    <w:rsid w:val="135B0B9C"/>
    <w:rsid w:val="13613BC0"/>
    <w:rsid w:val="136F3C12"/>
    <w:rsid w:val="139B7749"/>
    <w:rsid w:val="13AD23B3"/>
    <w:rsid w:val="13BA40B2"/>
    <w:rsid w:val="13C9015B"/>
    <w:rsid w:val="13DE1A83"/>
    <w:rsid w:val="13EC54A7"/>
    <w:rsid w:val="13FB7923"/>
    <w:rsid w:val="1403364C"/>
    <w:rsid w:val="14126091"/>
    <w:rsid w:val="14222715"/>
    <w:rsid w:val="143A7F90"/>
    <w:rsid w:val="143B01BD"/>
    <w:rsid w:val="14430C0D"/>
    <w:rsid w:val="145532B5"/>
    <w:rsid w:val="14554BDA"/>
    <w:rsid w:val="14705F87"/>
    <w:rsid w:val="147B750F"/>
    <w:rsid w:val="14925480"/>
    <w:rsid w:val="149A6321"/>
    <w:rsid w:val="14B13635"/>
    <w:rsid w:val="14B5299C"/>
    <w:rsid w:val="14B87AB9"/>
    <w:rsid w:val="14C16583"/>
    <w:rsid w:val="14C95986"/>
    <w:rsid w:val="14D6084F"/>
    <w:rsid w:val="14F8003E"/>
    <w:rsid w:val="14FA6636"/>
    <w:rsid w:val="152838F0"/>
    <w:rsid w:val="152916DD"/>
    <w:rsid w:val="153661EE"/>
    <w:rsid w:val="153A68F6"/>
    <w:rsid w:val="15563573"/>
    <w:rsid w:val="15690F0B"/>
    <w:rsid w:val="156F610B"/>
    <w:rsid w:val="15824492"/>
    <w:rsid w:val="15943AF9"/>
    <w:rsid w:val="15973ECC"/>
    <w:rsid w:val="159E1977"/>
    <w:rsid w:val="15A64219"/>
    <w:rsid w:val="15B5194F"/>
    <w:rsid w:val="15C727BE"/>
    <w:rsid w:val="15D53759"/>
    <w:rsid w:val="15E976CD"/>
    <w:rsid w:val="15F37FE9"/>
    <w:rsid w:val="15FD25A3"/>
    <w:rsid w:val="15FF4F86"/>
    <w:rsid w:val="16097B3E"/>
    <w:rsid w:val="162671D2"/>
    <w:rsid w:val="16371EA5"/>
    <w:rsid w:val="164330B0"/>
    <w:rsid w:val="16471E5F"/>
    <w:rsid w:val="16783F12"/>
    <w:rsid w:val="169655E1"/>
    <w:rsid w:val="169C5834"/>
    <w:rsid w:val="16A0044D"/>
    <w:rsid w:val="16A916C4"/>
    <w:rsid w:val="16AB3EFA"/>
    <w:rsid w:val="16E11149"/>
    <w:rsid w:val="16F51B18"/>
    <w:rsid w:val="170A37F4"/>
    <w:rsid w:val="170F14EF"/>
    <w:rsid w:val="17154C66"/>
    <w:rsid w:val="17245354"/>
    <w:rsid w:val="174E29D6"/>
    <w:rsid w:val="17617EA0"/>
    <w:rsid w:val="17756AC1"/>
    <w:rsid w:val="177E3305"/>
    <w:rsid w:val="17B16771"/>
    <w:rsid w:val="17D023AE"/>
    <w:rsid w:val="17D83355"/>
    <w:rsid w:val="17E81D05"/>
    <w:rsid w:val="17FD4CCE"/>
    <w:rsid w:val="18110820"/>
    <w:rsid w:val="181E1E94"/>
    <w:rsid w:val="181F30F9"/>
    <w:rsid w:val="182E2CDA"/>
    <w:rsid w:val="18341747"/>
    <w:rsid w:val="184C5D8F"/>
    <w:rsid w:val="185827AD"/>
    <w:rsid w:val="185924B9"/>
    <w:rsid w:val="185A6F97"/>
    <w:rsid w:val="185D74DF"/>
    <w:rsid w:val="186A2EF1"/>
    <w:rsid w:val="187B626A"/>
    <w:rsid w:val="18855B64"/>
    <w:rsid w:val="18A613A8"/>
    <w:rsid w:val="18D41EC8"/>
    <w:rsid w:val="18D66E53"/>
    <w:rsid w:val="18D67367"/>
    <w:rsid w:val="18DB4934"/>
    <w:rsid w:val="18E379E1"/>
    <w:rsid w:val="18E51DF8"/>
    <w:rsid w:val="18E970A9"/>
    <w:rsid w:val="18EA46EE"/>
    <w:rsid w:val="18F02F98"/>
    <w:rsid w:val="190471A4"/>
    <w:rsid w:val="192F2B37"/>
    <w:rsid w:val="194D558E"/>
    <w:rsid w:val="195D17F8"/>
    <w:rsid w:val="196231F0"/>
    <w:rsid w:val="1962664C"/>
    <w:rsid w:val="197161AA"/>
    <w:rsid w:val="197F642C"/>
    <w:rsid w:val="199602A3"/>
    <w:rsid w:val="199A3B00"/>
    <w:rsid w:val="19AC314D"/>
    <w:rsid w:val="19AF3121"/>
    <w:rsid w:val="19B57931"/>
    <w:rsid w:val="19BA0376"/>
    <w:rsid w:val="19BF48B9"/>
    <w:rsid w:val="19D91600"/>
    <w:rsid w:val="1A191DEA"/>
    <w:rsid w:val="1A197839"/>
    <w:rsid w:val="1A2E33C0"/>
    <w:rsid w:val="1A2F5919"/>
    <w:rsid w:val="1A38034C"/>
    <w:rsid w:val="1A6E3634"/>
    <w:rsid w:val="1A8A6F52"/>
    <w:rsid w:val="1A9B52AF"/>
    <w:rsid w:val="1ABF1C89"/>
    <w:rsid w:val="1AD829AF"/>
    <w:rsid w:val="1AE05648"/>
    <w:rsid w:val="1AE5732E"/>
    <w:rsid w:val="1AE718B0"/>
    <w:rsid w:val="1AE73149"/>
    <w:rsid w:val="1AEE5A47"/>
    <w:rsid w:val="1AEF336D"/>
    <w:rsid w:val="1AF02D35"/>
    <w:rsid w:val="1AF56BF2"/>
    <w:rsid w:val="1B06022C"/>
    <w:rsid w:val="1B0D0B24"/>
    <w:rsid w:val="1B287015"/>
    <w:rsid w:val="1B2C1704"/>
    <w:rsid w:val="1B3B0CD5"/>
    <w:rsid w:val="1B4A6E32"/>
    <w:rsid w:val="1B52630F"/>
    <w:rsid w:val="1B5C5CF4"/>
    <w:rsid w:val="1B621DF4"/>
    <w:rsid w:val="1B6D7CC3"/>
    <w:rsid w:val="1B78081D"/>
    <w:rsid w:val="1B891DDB"/>
    <w:rsid w:val="1B955973"/>
    <w:rsid w:val="1BB12DC7"/>
    <w:rsid w:val="1BB74DCC"/>
    <w:rsid w:val="1BBB4604"/>
    <w:rsid w:val="1BD8306D"/>
    <w:rsid w:val="1BDD18E6"/>
    <w:rsid w:val="1C1A1482"/>
    <w:rsid w:val="1C214669"/>
    <w:rsid w:val="1C342D66"/>
    <w:rsid w:val="1C3B7116"/>
    <w:rsid w:val="1C4656CF"/>
    <w:rsid w:val="1C537FC0"/>
    <w:rsid w:val="1C540648"/>
    <w:rsid w:val="1C5961BB"/>
    <w:rsid w:val="1C661004"/>
    <w:rsid w:val="1C895C93"/>
    <w:rsid w:val="1C8E1905"/>
    <w:rsid w:val="1C966A12"/>
    <w:rsid w:val="1CBA2D34"/>
    <w:rsid w:val="1CD72676"/>
    <w:rsid w:val="1CE04D78"/>
    <w:rsid w:val="1CF0195C"/>
    <w:rsid w:val="1D1520D4"/>
    <w:rsid w:val="1D222D2F"/>
    <w:rsid w:val="1D32695D"/>
    <w:rsid w:val="1D3E7C56"/>
    <w:rsid w:val="1D4239E0"/>
    <w:rsid w:val="1D5149F3"/>
    <w:rsid w:val="1D595B9C"/>
    <w:rsid w:val="1D621D46"/>
    <w:rsid w:val="1D684FA8"/>
    <w:rsid w:val="1D9306F1"/>
    <w:rsid w:val="1DA430D6"/>
    <w:rsid w:val="1DAB1BEE"/>
    <w:rsid w:val="1DAD7130"/>
    <w:rsid w:val="1DC330C1"/>
    <w:rsid w:val="1DCD76F5"/>
    <w:rsid w:val="1DD5700E"/>
    <w:rsid w:val="1DED1BEF"/>
    <w:rsid w:val="1DED5546"/>
    <w:rsid w:val="1DEE2144"/>
    <w:rsid w:val="1E1374CA"/>
    <w:rsid w:val="1E251DFD"/>
    <w:rsid w:val="1E2E23C0"/>
    <w:rsid w:val="1E3934C3"/>
    <w:rsid w:val="1E4858F3"/>
    <w:rsid w:val="1E523353"/>
    <w:rsid w:val="1E523E2D"/>
    <w:rsid w:val="1E730C26"/>
    <w:rsid w:val="1E9900E1"/>
    <w:rsid w:val="1EA36496"/>
    <w:rsid w:val="1EAD4FFE"/>
    <w:rsid w:val="1EB04768"/>
    <w:rsid w:val="1EB25218"/>
    <w:rsid w:val="1EB559BB"/>
    <w:rsid w:val="1EC64202"/>
    <w:rsid w:val="1ECB52D6"/>
    <w:rsid w:val="1ECF5704"/>
    <w:rsid w:val="1ED53918"/>
    <w:rsid w:val="1EE14B2B"/>
    <w:rsid w:val="1F1849A7"/>
    <w:rsid w:val="1F200C23"/>
    <w:rsid w:val="1F231EF9"/>
    <w:rsid w:val="1F291AC9"/>
    <w:rsid w:val="1F2C0559"/>
    <w:rsid w:val="1F2F06E8"/>
    <w:rsid w:val="1F3776EB"/>
    <w:rsid w:val="1F501329"/>
    <w:rsid w:val="1F533859"/>
    <w:rsid w:val="1F5A1B93"/>
    <w:rsid w:val="1F98296B"/>
    <w:rsid w:val="1FA7757C"/>
    <w:rsid w:val="1FB534A2"/>
    <w:rsid w:val="1FBD3C56"/>
    <w:rsid w:val="1FC52117"/>
    <w:rsid w:val="1FD769F2"/>
    <w:rsid w:val="1FF04852"/>
    <w:rsid w:val="20025C7B"/>
    <w:rsid w:val="20236457"/>
    <w:rsid w:val="202F6AEA"/>
    <w:rsid w:val="205A1403"/>
    <w:rsid w:val="205E3CC6"/>
    <w:rsid w:val="205F4180"/>
    <w:rsid w:val="20950556"/>
    <w:rsid w:val="20A71576"/>
    <w:rsid w:val="20AE4DB9"/>
    <w:rsid w:val="20CC2B1E"/>
    <w:rsid w:val="20D26FF4"/>
    <w:rsid w:val="20DD5CEF"/>
    <w:rsid w:val="210E2AF4"/>
    <w:rsid w:val="21124A7A"/>
    <w:rsid w:val="21162C8D"/>
    <w:rsid w:val="2139104E"/>
    <w:rsid w:val="215D259A"/>
    <w:rsid w:val="21A11F98"/>
    <w:rsid w:val="21F412B9"/>
    <w:rsid w:val="21F66DAB"/>
    <w:rsid w:val="220C194F"/>
    <w:rsid w:val="22134732"/>
    <w:rsid w:val="22311C18"/>
    <w:rsid w:val="2233705D"/>
    <w:rsid w:val="224A7B9B"/>
    <w:rsid w:val="22575E17"/>
    <w:rsid w:val="225F71D4"/>
    <w:rsid w:val="22694799"/>
    <w:rsid w:val="226B1B2C"/>
    <w:rsid w:val="226B74F6"/>
    <w:rsid w:val="227B79C7"/>
    <w:rsid w:val="22821A8C"/>
    <w:rsid w:val="228D1D2B"/>
    <w:rsid w:val="22975A81"/>
    <w:rsid w:val="22AC7CC1"/>
    <w:rsid w:val="22D008EB"/>
    <w:rsid w:val="22F648C3"/>
    <w:rsid w:val="22F73929"/>
    <w:rsid w:val="22FA403E"/>
    <w:rsid w:val="23040800"/>
    <w:rsid w:val="2314609D"/>
    <w:rsid w:val="23172816"/>
    <w:rsid w:val="231B15F7"/>
    <w:rsid w:val="2322094B"/>
    <w:rsid w:val="2325629A"/>
    <w:rsid w:val="2337044B"/>
    <w:rsid w:val="23603E9D"/>
    <w:rsid w:val="23705B16"/>
    <w:rsid w:val="23797758"/>
    <w:rsid w:val="23937226"/>
    <w:rsid w:val="23A42DD9"/>
    <w:rsid w:val="23B35A92"/>
    <w:rsid w:val="23B35B1F"/>
    <w:rsid w:val="23C515B5"/>
    <w:rsid w:val="23CB2276"/>
    <w:rsid w:val="23EE5D2D"/>
    <w:rsid w:val="23FA2553"/>
    <w:rsid w:val="24164D8E"/>
    <w:rsid w:val="242D15A4"/>
    <w:rsid w:val="244B5ECC"/>
    <w:rsid w:val="246A0EA5"/>
    <w:rsid w:val="247146D4"/>
    <w:rsid w:val="24774C58"/>
    <w:rsid w:val="24891685"/>
    <w:rsid w:val="249C76E1"/>
    <w:rsid w:val="24B77342"/>
    <w:rsid w:val="24B834EC"/>
    <w:rsid w:val="24B84C4D"/>
    <w:rsid w:val="24D071B2"/>
    <w:rsid w:val="25126192"/>
    <w:rsid w:val="251F6F9E"/>
    <w:rsid w:val="25243ADD"/>
    <w:rsid w:val="252912DB"/>
    <w:rsid w:val="252D08A6"/>
    <w:rsid w:val="25487730"/>
    <w:rsid w:val="255A7ABA"/>
    <w:rsid w:val="25650F3E"/>
    <w:rsid w:val="256B053F"/>
    <w:rsid w:val="256F4417"/>
    <w:rsid w:val="25A571E3"/>
    <w:rsid w:val="25C80589"/>
    <w:rsid w:val="25DC6C2E"/>
    <w:rsid w:val="25F24783"/>
    <w:rsid w:val="25FB73FA"/>
    <w:rsid w:val="25FF1BA2"/>
    <w:rsid w:val="26007C4E"/>
    <w:rsid w:val="260236CD"/>
    <w:rsid w:val="262E4D32"/>
    <w:rsid w:val="26540BDA"/>
    <w:rsid w:val="266E34B8"/>
    <w:rsid w:val="26701DA0"/>
    <w:rsid w:val="267A06FB"/>
    <w:rsid w:val="268B18BD"/>
    <w:rsid w:val="26987EE1"/>
    <w:rsid w:val="26A72C4F"/>
    <w:rsid w:val="26AF171A"/>
    <w:rsid w:val="26D24F69"/>
    <w:rsid w:val="26D34B59"/>
    <w:rsid w:val="26D4385D"/>
    <w:rsid w:val="26D91F3B"/>
    <w:rsid w:val="26EA2B91"/>
    <w:rsid w:val="26ED182D"/>
    <w:rsid w:val="272B3537"/>
    <w:rsid w:val="273213E3"/>
    <w:rsid w:val="27375F5A"/>
    <w:rsid w:val="274614E6"/>
    <w:rsid w:val="274F4E51"/>
    <w:rsid w:val="275F1B3A"/>
    <w:rsid w:val="279D67BD"/>
    <w:rsid w:val="27A04E38"/>
    <w:rsid w:val="27AE0240"/>
    <w:rsid w:val="27E03B63"/>
    <w:rsid w:val="27F01E6D"/>
    <w:rsid w:val="27F02380"/>
    <w:rsid w:val="27FD500C"/>
    <w:rsid w:val="2802042F"/>
    <w:rsid w:val="280F2E76"/>
    <w:rsid w:val="281F782A"/>
    <w:rsid w:val="283404BE"/>
    <w:rsid w:val="28507EC7"/>
    <w:rsid w:val="286B68AE"/>
    <w:rsid w:val="2884663A"/>
    <w:rsid w:val="2894459A"/>
    <w:rsid w:val="289549F8"/>
    <w:rsid w:val="28A61D67"/>
    <w:rsid w:val="28A72E51"/>
    <w:rsid w:val="28B02CF3"/>
    <w:rsid w:val="28D079F8"/>
    <w:rsid w:val="28D7613B"/>
    <w:rsid w:val="28E034BD"/>
    <w:rsid w:val="29077003"/>
    <w:rsid w:val="29182652"/>
    <w:rsid w:val="291E352C"/>
    <w:rsid w:val="292414AB"/>
    <w:rsid w:val="2924799B"/>
    <w:rsid w:val="294A4A7E"/>
    <w:rsid w:val="29631B21"/>
    <w:rsid w:val="2984417A"/>
    <w:rsid w:val="299110B2"/>
    <w:rsid w:val="29926F15"/>
    <w:rsid w:val="2996109F"/>
    <w:rsid w:val="29987505"/>
    <w:rsid w:val="29B524A2"/>
    <w:rsid w:val="29B97E01"/>
    <w:rsid w:val="29BB4CFA"/>
    <w:rsid w:val="29D5135A"/>
    <w:rsid w:val="29F93B75"/>
    <w:rsid w:val="29FC69E8"/>
    <w:rsid w:val="2A081BDB"/>
    <w:rsid w:val="2A39530F"/>
    <w:rsid w:val="2A3E44AB"/>
    <w:rsid w:val="2A6D7436"/>
    <w:rsid w:val="2A6F12E5"/>
    <w:rsid w:val="2A810995"/>
    <w:rsid w:val="2A995A47"/>
    <w:rsid w:val="2A99655C"/>
    <w:rsid w:val="2AA31C49"/>
    <w:rsid w:val="2AA73E70"/>
    <w:rsid w:val="2AAC20D7"/>
    <w:rsid w:val="2AAF27E9"/>
    <w:rsid w:val="2ABF645C"/>
    <w:rsid w:val="2AC54B0B"/>
    <w:rsid w:val="2AD2181B"/>
    <w:rsid w:val="2AF32ABB"/>
    <w:rsid w:val="2AFD7FD3"/>
    <w:rsid w:val="2B043779"/>
    <w:rsid w:val="2B154B6D"/>
    <w:rsid w:val="2B154D02"/>
    <w:rsid w:val="2B260FE8"/>
    <w:rsid w:val="2B35224F"/>
    <w:rsid w:val="2B495AD2"/>
    <w:rsid w:val="2B7156E7"/>
    <w:rsid w:val="2B7E10D4"/>
    <w:rsid w:val="2B7E11BE"/>
    <w:rsid w:val="2B8D7E79"/>
    <w:rsid w:val="2BAD7E9B"/>
    <w:rsid w:val="2BCD6C6B"/>
    <w:rsid w:val="2BE90750"/>
    <w:rsid w:val="2BF2129F"/>
    <w:rsid w:val="2BFC3F43"/>
    <w:rsid w:val="2C046866"/>
    <w:rsid w:val="2C355E72"/>
    <w:rsid w:val="2C48315C"/>
    <w:rsid w:val="2C610B27"/>
    <w:rsid w:val="2C6D34BF"/>
    <w:rsid w:val="2CA9516A"/>
    <w:rsid w:val="2CE400F9"/>
    <w:rsid w:val="2CE52056"/>
    <w:rsid w:val="2D0E52FA"/>
    <w:rsid w:val="2D284FA9"/>
    <w:rsid w:val="2D332B92"/>
    <w:rsid w:val="2D344741"/>
    <w:rsid w:val="2D3735D9"/>
    <w:rsid w:val="2D4F4482"/>
    <w:rsid w:val="2D526A6D"/>
    <w:rsid w:val="2D594D39"/>
    <w:rsid w:val="2D6757A5"/>
    <w:rsid w:val="2D7D0CFF"/>
    <w:rsid w:val="2D8041C0"/>
    <w:rsid w:val="2D84248D"/>
    <w:rsid w:val="2D8B23CE"/>
    <w:rsid w:val="2DAF0E3C"/>
    <w:rsid w:val="2DB57704"/>
    <w:rsid w:val="2DF802B0"/>
    <w:rsid w:val="2DFE2FBB"/>
    <w:rsid w:val="2E15679C"/>
    <w:rsid w:val="2E173CE4"/>
    <w:rsid w:val="2E1B3972"/>
    <w:rsid w:val="2E5B7FCB"/>
    <w:rsid w:val="2E5D2BC1"/>
    <w:rsid w:val="2E7D419E"/>
    <w:rsid w:val="2E893EA0"/>
    <w:rsid w:val="2EB71602"/>
    <w:rsid w:val="2ECA2713"/>
    <w:rsid w:val="2ED02910"/>
    <w:rsid w:val="2EE528D4"/>
    <w:rsid w:val="2EE965FF"/>
    <w:rsid w:val="2EEA52A0"/>
    <w:rsid w:val="2EF465D4"/>
    <w:rsid w:val="2EF8552C"/>
    <w:rsid w:val="2F093D6C"/>
    <w:rsid w:val="2F0E3323"/>
    <w:rsid w:val="2F112762"/>
    <w:rsid w:val="2F243CA5"/>
    <w:rsid w:val="2F2C02A3"/>
    <w:rsid w:val="2F4F28D0"/>
    <w:rsid w:val="2F587261"/>
    <w:rsid w:val="2F7D6EF9"/>
    <w:rsid w:val="2F8435CB"/>
    <w:rsid w:val="2FAC1814"/>
    <w:rsid w:val="2FBE0456"/>
    <w:rsid w:val="2FC67332"/>
    <w:rsid w:val="2FD41771"/>
    <w:rsid w:val="2FD556BF"/>
    <w:rsid w:val="2FD93105"/>
    <w:rsid w:val="2FF27DFF"/>
    <w:rsid w:val="2FF7416B"/>
    <w:rsid w:val="30037FEF"/>
    <w:rsid w:val="300F7931"/>
    <w:rsid w:val="301150C5"/>
    <w:rsid w:val="302835D0"/>
    <w:rsid w:val="302B5CC6"/>
    <w:rsid w:val="303C6F2E"/>
    <w:rsid w:val="305A20F3"/>
    <w:rsid w:val="30626596"/>
    <w:rsid w:val="30676205"/>
    <w:rsid w:val="307271E3"/>
    <w:rsid w:val="307D24EC"/>
    <w:rsid w:val="307D5E9F"/>
    <w:rsid w:val="307D719C"/>
    <w:rsid w:val="30AF589E"/>
    <w:rsid w:val="30B0163E"/>
    <w:rsid w:val="30B21779"/>
    <w:rsid w:val="30C901EE"/>
    <w:rsid w:val="30DC47C2"/>
    <w:rsid w:val="30DE0D2C"/>
    <w:rsid w:val="30EA4808"/>
    <w:rsid w:val="30F16BF6"/>
    <w:rsid w:val="30FE30E8"/>
    <w:rsid w:val="31176626"/>
    <w:rsid w:val="31255501"/>
    <w:rsid w:val="31313475"/>
    <w:rsid w:val="313D2BD7"/>
    <w:rsid w:val="313E33EA"/>
    <w:rsid w:val="3152296C"/>
    <w:rsid w:val="31566C22"/>
    <w:rsid w:val="31662E14"/>
    <w:rsid w:val="316B523C"/>
    <w:rsid w:val="317A187C"/>
    <w:rsid w:val="318A1234"/>
    <w:rsid w:val="31970D53"/>
    <w:rsid w:val="319F0107"/>
    <w:rsid w:val="31B9469D"/>
    <w:rsid w:val="31BC4C9A"/>
    <w:rsid w:val="31C53353"/>
    <w:rsid w:val="31DB4EF8"/>
    <w:rsid w:val="31E403F4"/>
    <w:rsid w:val="31E853EB"/>
    <w:rsid w:val="31E865AA"/>
    <w:rsid w:val="31EE21BC"/>
    <w:rsid w:val="31FE5EF5"/>
    <w:rsid w:val="32116BB8"/>
    <w:rsid w:val="32123008"/>
    <w:rsid w:val="32133B6C"/>
    <w:rsid w:val="32133CE3"/>
    <w:rsid w:val="321C2B57"/>
    <w:rsid w:val="32206E28"/>
    <w:rsid w:val="323E290D"/>
    <w:rsid w:val="32407BF5"/>
    <w:rsid w:val="32496C3B"/>
    <w:rsid w:val="32552EBD"/>
    <w:rsid w:val="325E68C9"/>
    <w:rsid w:val="32657F75"/>
    <w:rsid w:val="327C7D32"/>
    <w:rsid w:val="32984492"/>
    <w:rsid w:val="32A925C4"/>
    <w:rsid w:val="32B46D3A"/>
    <w:rsid w:val="32C068DF"/>
    <w:rsid w:val="32D80714"/>
    <w:rsid w:val="32EB0356"/>
    <w:rsid w:val="32F40FEE"/>
    <w:rsid w:val="33094354"/>
    <w:rsid w:val="331539BB"/>
    <w:rsid w:val="3317551E"/>
    <w:rsid w:val="332B06DE"/>
    <w:rsid w:val="332F6AE4"/>
    <w:rsid w:val="33316459"/>
    <w:rsid w:val="33451F89"/>
    <w:rsid w:val="334C3FB1"/>
    <w:rsid w:val="3375782B"/>
    <w:rsid w:val="3377061F"/>
    <w:rsid w:val="33822478"/>
    <w:rsid w:val="33BD47F4"/>
    <w:rsid w:val="33BE0D6E"/>
    <w:rsid w:val="33BF18DD"/>
    <w:rsid w:val="33E01429"/>
    <w:rsid w:val="33E90E71"/>
    <w:rsid w:val="33F73CC4"/>
    <w:rsid w:val="33FC6D34"/>
    <w:rsid w:val="340B7B86"/>
    <w:rsid w:val="341B2D6B"/>
    <w:rsid w:val="34256154"/>
    <w:rsid w:val="34284AEB"/>
    <w:rsid w:val="342B66FC"/>
    <w:rsid w:val="34384988"/>
    <w:rsid w:val="343922B2"/>
    <w:rsid w:val="34776B39"/>
    <w:rsid w:val="347A3623"/>
    <w:rsid w:val="34A034D4"/>
    <w:rsid w:val="34A9259A"/>
    <w:rsid w:val="34AD2BE0"/>
    <w:rsid w:val="34BB48D2"/>
    <w:rsid w:val="34C60024"/>
    <w:rsid w:val="34C71CD5"/>
    <w:rsid w:val="34C92990"/>
    <w:rsid w:val="34E839DC"/>
    <w:rsid w:val="34FB137A"/>
    <w:rsid w:val="35004A7E"/>
    <w:rsid w:val="350879A3"/>
    <w:rsid w:val="351C4AE5"/>
    <w:rsid w:val="352616BE"/>
    <w:rsid w:val="353D7B93"/>
    <w:rsid w:val="35561AF4"/>
    <w:rsid w:val="356C5900"/>
    <w:rsid w:val="35734DB2"/>
    <w:rsid w:val="357C1F7D"/>
    <w:rsid w:val="358724FF"/>
    <w:rsid w:val="358F5F1A"/>
    <w:rsid w:val="35B15F2A"/>
    <w:rsid w:val="35C74ADC"/>
    <w:rsid w:val="35CC466C"/>
    <w:rsid w:val="35CF65F5"/>
    <w:rsid w:val="35DE0D8E"/>
    <w:rsid w:val="35E540AE"/>
    <w:rsid w:val="35F719E8"/>
    <w:rsid w:val="35F92D32"/>
    <w:rsid w:val="36244C20"/>
    <w:rsid w:val="36252613"/>
    <w:rsid w:val="363C5D40"/>
    <w:rsid w:val="3642548B"/>
    <w:rsid w:val="36427BAB"/>
    <w:rsid w:val="364D2DDB"/>
    <w:rsid w:val="36612EEE"/>
    <w:rsid w:val="36663CBA"/>
    <w:rsid w:val="36715380"/>
    <w:rsid w:val="36835B3B"/>
    <w:rsid w:val="36917048"/>
    <w:rsid w:val="369B3364"/>
    <w:rsid w:val="369F6A2B"/>
    <w:rsid w:val="36D936CC"/>
    <w:rsid w:val="36E3020A"/>
    <w:rsid w:val="36F4395B"/>
    <w:rsid w:val="3713354E"/>
    <w:rsid w:val="371C4C7F"/>
    <w:rsid w:val="371F4D6B"/>
    <w:rsid w:val="37293BC5"/>
    <w:rsid w:val="374A7876"/>
    <w:rsid w:val="37532518"/>
    <w:rsid w:val="37546205"/>
    <w:rsid w:val="37601603"/>
    <w:rsid w:val="3766395A"/>
    <w:rsid w:val="37814340"/>
    <w:rsid w:val="37B0064E"/>
    <w:rsid w:val="37B779EF"/>
    <w:rsid w:val="37C21256"/>
    <w:rsid w:val="37D85B5D"/>
    <w:rsid w:val="37DD5921"/>
    <w:rsid w:val="37DD7010"/>
    <w:rsid w:val="37FA533C"/>
    <w:rsid w:val="37FA773C"/>
    <w:rsid w:val="38075859"/>
    <w:rsid w:val="38076E00"/>
    <w:rsid w:val="380A100B"/>
    <w:rsid w:val="381F5D4F"/>
    <w:rsid w:val="38362811"/>
    <w:rsid w:val="384E5190"/>
    <w:rsid w:val="386D3A7B"/>
    <w:rsid w:val="38824C2B"/>
    <w:rsid w:val="38905314"/>
    <w:rsid w:val="389561A8"/>
    <w:rsid w:val="38AA0884"/>
    <w:rsid w:val="38B64108"/>
    <w:rsid w:val="38CA16CC"/>
    <w:rsid w:val="38D4437C"/>
    <w:rsid w:val="38D53FC9"/>
    <w:rsid w:val="38D90A2E"/>
    <w:rsid w:val="38F86B56"/>
    <w:rsid w:val="391A330B"/>
    <w:rsid w:val="39235AEF"/>
    <w:rsid w:val="39352260"/>
    <w:rsid w:val="393E67C2"/>
    <w:rsid w:val="394D03DD"/>
    <w:rsid w:val="39634B56"/>
    <w:rsid w:val="396B6CAF"/>
    <w:rsid w:val="396D1C7C"/>
    <w:rsid w:val="396E30F1"/>
    <w:rsid w:val="397C7FB8"/>
    <w:rsid w:val="39A60EF0"/>
    <w:rsid w:val="3A0729B6"/>
    <w:rsid w:val="3A232972"/>
    <w:rsid w:val="3A2612A5"/>
    <w:rsid w:val="3A5E26B3"/>
    <w:rsid w:val="3A671CBD"/>
    <w:rsid w:val="3A6A2608"/>
    <w:rsid w:val="3A6B58A0"/>
    <w:rsid w:val="3A773C11"/>
    <w:rsid w:val="3A801803"/>
    <w:rsid w:val="3A945F3E"/>
    <w:rsid w:val="3A992D33"/>
    <w:rsid w:val="3AAF3A02"/>
    <w:rsid w:val="3ABF5664"/>
    <w:rsid w:val="3AC27557"/>
    <w:rsid w:val="3AD536A1"/>
    <w:rsid w:val="3ADD34C4"/>
    <w:rsid w:val="3ADE32DF"/>
    <w:rsid w:val="3B040BC8"/>
    <w:rsid w:val="3B044D11"/>
    <w:rsid w:val="3B067EF8"/>
    <w:rsid w:val="3B164EDD"/>
    <w:rsid w:val="3B2960FF"/>
    <w:rsid w:val="3B2D4356"/>
    <w:rsid w:val="3B3D7169"/>
    <w:rsid w:val="3B445656"/>
    <w:rsid w:val="3B547BFC"/>
    <w:rsid w:val="3B554099"/>
    <w:rsid w:val="3B692E52"/>
    <w:rsid w:val="3B74673F"/>
    <w:rsid w:val="3B8D48A9"/>
    <w:rsid w:val="3B9306E1"/>
    <w:rsid w:val="3B981DDB"/>
    <w:rsid w:val="3B9E4E79"/>
    <w:rsid w:val="3B9F1A34"/>
    <w:rsid w:val="3BAF21B3"/>
    <w:rsid w:val="3BB9387B"/>
    <w:rsid w:val="3BC90AA7"/>
    <w:rsid w:val="3BCB6C43"/>
    <w:rsid w:val="3BD70103"/>
    <w:rsid w:val="3BE30588"/>
    <w:rsid w:val="3C0479CA"/>
    <w:rsid w:val="3C203C71"/>
    <w:rsid w:val="3C256FA4"/>
    <w:rsid w:val="3C285497"/>
    <w:rsid w:val="3C3C0773"/>
    <w:rsid w:val="3C3D0DCB"/>
    <w:rsid w:val="3C3E28AE"/>
    <w:rsid w:val="3C3F719D"/>
    <w:rsid w:val="3C4436B7"/>
    <w:rsid w:val="3C8A41DA"/>
    <w:rsid w:val="3C9F3412"/>
    <w:rsid w:val="3CAC19AC"/>
    <w:rsid w:val="3CB76238"/>
    <w:rsid w:val="3CC73775"/>
    <w:rsid w:val="3CDA1385"/>
    <w:rsid w:val="3CE07E77"/>
    <w:rsid w:val="3CF15FF1"/>
    <w:rsid w:val="3CF32228"/>
    <w:rsid w:val="3CF63146"/>
    <w:rsid w:val="3D1010A6"/>
    <w:rsid w:val="3D3046C5"/>
    <w:rsid w:val="3D435A96"/>
    <w:rsid w:val="3D542C6B"/>
    <w:rsid w:val="3D585BF5"/>
    <w:rsid w:val="3D6E6A05"/>
    <w:rsid w:val="3D8A7BFF"/>
    <w:rsid w:val="3D943E12"/>
    <w:rsid w:val="3DAC2A0C"/>
    <w:rsid w:val="3DAC62E3"/>
    <w:rsid w:val="3DAD3F6E"/>
    <w:rsid w:val="3DC95DA3"/>
    <w:rsid w:val="3DD84BD6"/>
    <w:rsid w:val="3DD91CFE"/>
    <w:rsid w:val="3DDB4332"/>
    <w:rsid w:val="3DE055C4"/>
    <w:rsid w:val="3DFB08CA"/>
    <w:rsid w:val="3E042DF1"/>
    <w:rsid w:val="3E084341"/>
    <w:rsid w:val="3E164A2C"/>
    <w:rsid w:val="3E437431"/>
    <w:rsid w:val="3E665146"/>
    <w:rsid w:val="3E790316"/>
    <w:rsid w:val="3E8241A3"/>
    <w:rsid w:val="3EA53E5D"/>
    <w:rsid w:val="3EAE01C8"/>
    <w:rsid w:val="3EB14BBE"/>
    <w:rsid w:val="3EB84A86"/>
    <w:rsid w:val="3EBE21C8"/>
    <w:rsid w:val="3EEF4808"/>
    <w:rsid w:val="3F010418"/>
    <w:rsid w:val="3F11109A"/>
    <w:rsid w:val="3F114E0D"/>
    <w:rsid w:val="3F157FBA"/>
    <w:rsid w:val="3F242966"/>
    <w:rsid w:val="3F2C18B8"/>
    <w:rsid w:val="3F30741B"/>
    <w:rsid w:val="3F4A0C5D"/>
    <w:rsid w:val="3F674193"/>
    <w:rsid w:val="3F8136BA"/>
    <w:rsid w:val="3FA20E7D"/>
    <w:rsid w:val="3FA92B6A"/>
    <w:rsid w:val="3FAA4275"/>
    <w:rsid w:val="3FEE7DAD"/>
    <w:rsid w:val="3FF2515F"/>
    <w:rsid w:val="3FFF0A83"/>
    <w:rsid w:val="40165ED2"/>
    <w:rsid w:val="403051AB"/>
    <w:rsid w:val="404F49AE"/>
    <w:rsid w:val="40535799"/>
    <w:rsid w:val="405F19FA"/>
    <w:rsid w:val="4064350B"/>
    <w:rsid w:val="406B1716"/>
    <w:rsid w:val="40747181"/>
    <w:rsid w:val="40792ADB"/>
    <w:rsid w:val="408143B9"/>
    <w:rsid w:val="409858A2"/>
    <w:rsid w:val="40A16921"/>
    <w:rsid w:val="40A94EB1"/>
    <w:rsid w:val="40B850FE"/>
    <w:rsid w:val="40C05854"/>
    <w:rsid w:val="40C5397F"/>
    <w:rsid w:val="40C63EEC"/>
    <w:rsid w:val="40D129B1"/>
    <w:rsid w:val="40D51D66"/>
    <w:rsid w:val="40E53634"/>
    <w:rsid w:val="40F90D58"/>
    <w:rsid w:val="41087F4E"/>
    <w:rsid w:val="411350AE"/>
    <w:rsid w:val="4119017C"/>
    <w:rsid w:val="41221127"/>
    <w:rsid w:val="41222189"/>
    <w:rsid w:val="416359C7"/>
    <w:rsid w:val="41827800"/>
    <w:rsid w:val="418A0789"/>
    <w:rsid w:val="41A263A2"/>
    <w:rsid w:val="41AC0292"/>
    <w:rsid w:val="41AD658F"/>
    <w:rsid w:val="41B14BB3"/>
    <w:rsid w:val="41B656E9"/>
    <w:rsid w:val="41E61FB5"/>
    <w:rsid w:val="41F22714"/>
    <w:rsid w:val="41F7241C"/>
    <w:rsid w:val="420C5799"/>
    <w:rsid w:val="42122F69"/>
    <w:rsid w:val="42454245"/>
    <w:rsid w:val="424A50EC"/>
    <w:rsid w:val="424D50B3"/>
    <w:rsid w:val="425D0383"/>
    <w:rsid w:val="4273648F"/>
    <w:rsid w:val="42777C30"/>
    <w:rsid w:val="42821DFB"/>
    <w:rsid w:val="429467D7"/>
    <w:rsid w:val="42A82B48"/>
    <w:rsid w:val="42AD2282"/>
    <w:rsid w:val="42C94647"/>
    <w:rsid w:val="42DB598C"/>
    <w:rsid w:val="42E673D4"/>
    <w:rsid w:val="42E74AA4"/>
    <w:rsid w:val="43054FA2"/>
    <w:rsid w:val="431B1EF4"/>
    <w:rsid w:val="43466052"/>
    <w:rsid w:val="43637B99"/>
    <w:rsid w:val="437E3B29"/>
    <w:rsid w:val="437E617A"/>
    <w:rsid w:val="43910E6C"/>
    <w:rsid w:val="43BA0B2A"/>
    <w:rsid w:val="43E96E63"/>
    <w:rsid w:val="4400338C"/>
    <w:rsid w:val="44182330"/>
    <w:rsid w:val="44596044"/>
    <w:rsid w:val="4479182B"/>
    <w:rsid w:val="44972F45"/>
    <w:rsid w:val="44984AB0"/>
    <w:rsid w:val="449A2862"/>
    <w:rsid w:val="44A478FC"/>
    <w:rsid w:val="44AA12BA"/>
    <w:rsid w:val="44AC3C4E"/>
    <w:rsid w:val="44BE0AE3"/>
    <w:rsid w:val="44F46159"/>
    <w:rsid w:val="45025855"/>
    <w:rsid w:val="450F1075"/>
    <w:rsid w:val="45191D53"/>
    <w:rsid w:val="4528136B"/>
    <w:rsid w:val="45460F3D"/>
    <w:rsid w:val="456E337C"/>
    <w:rsid w:val="458464BA"/>
    <w:rsid w:val="458A2BB5"/>
    <w:rsid w:val="45913D9F"/>
    <w:rsid w:val="45CB741B"/>
    <w:rsid w:val="45D517D2"/>
    <w:rsid w:val="45D625A3"/>
    <w:rsid w:val="45FA5C4F"/>
    <w:rsid w:val="4622676B"/>
    <w:rsid w:val="46246064"/>
    <w:rsid w:val="46256879"/>
    <w:rsid w:val="46332E37"/>
    <w:rsid w:val="46552B86"/>
    <w:rsid w:val="465F348A"/>
    <w:rsid w:val="466E5403"/>
    <w:rsid w:val="466F633F"/>
    <w:rsid w:val="4671798C"/>
    <w:rsid w:val="46741C54"/>
    <w:rsid w:val="467B52D0"/>
    <w:rsid w:val="468A3B31"/>
    <w:rsid w:val="46A00166"/>
    <w:rsid w:val="46C14CFF"/>
    <w:rsid w:val="46C717AD"/>
    <w:rsid w:val="46C90C02"/>
    <w:rsid w:val="46C9576B"/>
    <w:rsid w:val="46D30542"/>
    <w:rsid w:val="46FD385A"/>
    <w:rsid w:val="470118B8"/>
    <w:rsid w:val="47087C87"/>
    <w:rsid w:val="470D25F9"/>
    <w:rsid w:val="47140A8D"/>
    <w:rsid w:val="471437D6"/>
    <w:rsid w:val="471B62A6"/>
    <w:rsid w:val="47297693"/>
    <w:rsid w:val="47315A70"/>
    <w:rsid w:val="47437620"/>
    <w:rsid w:val="47553C07"/>
    <w:rsid w:val="47580A98"/>
    <w:rsid w:val="47862D33"/>
    <w:rsid w:val="47B9659B"/>
    <w:rsid w:val="47C909A6"/>
    <w:rsid w:val="47D230ED"/>
    <w:rsid w:val="47D76373"/>
    <w:rsid w:val="47E513E3"/>
    <w:rsid w:val="47E929C7"/>
    <w:rsid w:val="47ED7509"/>
    <w:rsid w:val="482A1B36"/>
    <w:rsid w:val="48387B47"/>
    <w:rsid w:val="484D6F45"/>
    <w:rsid w:val="485B639E"/>
    <w:rsid w:val="4876027E"/>
    <w:rsid w:val="48791B44"/>
    <w:rsid w:val="4880418F"/>
    <w:rsid w:val="488B7433"/>
    <w:rsid w:val="4899218E"/>
    <w:rsid w:val="48A543FE"/>
    <w:rsid w:val="48A745AF"/>
    <w:rsid w:val="48B740B2"/>
    <w:rsid w:val="48B86067"/>
    <w:rsid w:val="48BC3FCB"/>
    <w:rsid w:val="48D21685"/>
    <w:rsid w:val="48DF0B98"/>
    <w:rsid w:val="48E87D53"/>
    <w:rsid w:val="48F16A7A"/>
    <w:rsid w:val="490C73C1"/>
    <w:rsid w:val="495C5F25"/>
    <w:rsid w:val="49626AB5"/>
    <w:rsid w:val="496563CD"/>
    <w:rsid w:val="497D3011"/>
    <w:rsid w:val="49D35A01"/>
    <w:rsid w:val="49E01F73"/>
    <w:rsid w:val="49F116C6"/>
    <w:rsid w:val="4A121776"/>
    <w:rsid w:val="4A161B60"/>
    <w:rsid w:val="4A172EE4"/>
    <w:rsid w:val="4A1F06F9"/>
    <w:rsid w:val="4A2A48D9"/>
    <w:rsid w:val="4A537C91"/>
    <w:rsid w:val="4A5B7C2D"/>
    <w:rsid w:val="4A5C0038"/>
    <w:rsid w:val="4A62386B"/>
    <w:rsid w:val="4A636329"/>
    <w:rsid w:val="4A705CAF"/>
    <w:rsid w:val="4A7E0F53"/>
    <w:rsid w:val="4A8D08AF"/>
    <w:rsid w:val="4A960CAA"/>
    <w:rsid w:val="4AA11DED"/>
    <w:rsid w:val="4AC043E2"/>
    <w:rsid w:val="4AC64C6D"/>
    <w:rsid w:val="4ADF0F92"/>
    <w:rsid w:val="4B1C6EC3"/>
    <w:rsid w:val="4B247036"/>
    <w:rsid w:val="4B297A50"/>
    <w:rsid w:val="4B333569"/>
    <w:rsid w:val="4B373E4B"/>
    <w:rsid w:val="4B3C7A54"/>
    <w:rsid w:val="4B457725"/>
    <w:rsid w:val="4B4C5493"/>
    <w:rsid w:val="4B597B3F"/>
    <w:rsid w:val="4B840336"/>
    <w:rsid w:val="4B934EA4"/>
    <w:rsid w:val="4BA00B9B"/>
    <w:rsid w:val="4BA47DA1"/>
    <w:rsid w:val="4BA55BCD"/>
    <w:rsid w:val="4BA7107F"/>
    <w:rsid w:val="4BAD7E11"/>
    <w:rsid w:val="4BAF2D0C"/>
    <w:rsid w:val="4BDA1D49"/>
    <w:rsid w:val="4C0C1D0D"/>
    <w:rsid w:val="4C337D20"/>
    <w:rsid w:val="4C34207A"/>
    <w:rsid w:val="4C3A6099"/>
    <w:rsid w:val="4C3F3822"/>
    <w:rsid w:val="4C502E9C"/>
    <w:rsid w:val="4C647070"/>
    <w:rsid w:val="4C690B87"/>
    <w:rsid w:val="4C750A3A"/>
    <w:rsid w:val="4C7726F6"/>
    <w:rsid w:val="4C976092"/>
    <w:rsid w:val="4C9959F0"/>
    <w:rsid w:val="4CD30DF3"/>
    <w:rsid w:val="4CDA5989"/>
    <w:rsid w:val="4CE13F49"/>
    <w:rsid w:val="4CEF3F80"/>
    <w:rsid w:val="4CFE7562"/>
    <w:rsid w:val="4D011856"/>
    <w:rsid w:val="4D106578"/>
    <w:rsid w:val="4D165679"/>
    <w:rsid w:val="4D1C5A1E"/>
    <w:rsid w:val="4D2548CB"/>
    <w:rsid w:val="4D3D4BB3"/>
    <w:rsid w:val="4D4673F1"/>
    <w:rsid w:val="4D56518F"/>
    <w:rsid w:val="4D641F0F"/>
    <w:rsid w:val="4D680D1A"/>
    <w:rsid w:val="4D6B2DB2"/>
    <w:rsid w:val="4D7142A2"/>
    <w:rsid w:val="4D8264F4"/>
    <w:rsid w:val="4D8915D2"/>
    <w:rsid w:val="4D8D1787"/>
    <w:rsid w:val="4D9013FA"/>
    <w:rsid w:val="4D9E2B15"/>
    <w:rsid w:val="4DAE089D"/>
    <w:rsid w:val="4DCA7EB6"/>
    <w:rsid w:val="4DCE746B"/>
    <w:rsid w:val="4DD20189"/>
    <w:rsid w:val="4DDB2C83"/>
    <w:rsid w:val="4DE1562C"/>
    <w:rsid w:val="4DE366F9"/>
    <w:rsid w:val="4DEA4787"/>
    <w:rsid w:val="4DF33302"/>
    <w:rsid w:val="4DFE70D2"/>
    <w:rsid w:val="4E06599F"/>
    <w:rsid w:val="4E5E4F17"/>
    <w:rsid w:val="4E706742"/>
    <w:rsid w:val="4E7B4886"/>
    <w:rsid w:val="4E836E06"/>
    <w:rsid w:val="4E9F0DC8"/>
    <w:rsid w:val="4EAA4FCF"/>
    <w:rsid w:val="4ED00594"/>
    <w:rsid w:val="4EDA3E56"/>
    <w:rsid w:val="4EFC5538"/>
    <w:rsid w:val="4F1B4906"/>
    <w:rsid w:val="4F1C783C"/>
    <w:rsid w:val="4F20299E"/>
    <w:rsid w:val="4F2B0255"/>
    <w:rsid w:val="4F401F6A"/>
    <w:rsid w:val="4F545226"/>
    <w:rsid w:val="4F7F25E8"/>
    <w:rsid w:val="4F836E45"/>
    <w:rsid w:val="4F9846FE"/>
    <w:rsid w:val="4FC66A3A"/>
    <w:rsid w:val="4FFE2668"/>
    <w:rsid w:val="500C5076"/>
    <w:rsid w:val="50156085"/>
    <w:rsid w:val="50820E31"/>
    <w:rsid w:val="508A2BC9"/>
    <w:rsid w:val="508D0120"/>
    <w:rsid w:val="509C6874"/>
    <w:rsid w:val="50A12478"/>
    <w:rsid w:val="50A20AE2"/>
    <w:rsid w:val="50AB1FC5"/>
    <w:rsid w:val="50AF08E6"/>
    <w:rsid w:val="50C76FE2"/>
    <w:rsid w:val="50E07709"/>
    <w:rsid w:val="50ED3FC9"/>
    <w:rsid w:val="510273D0"/>
    <w:rsid w:val="511C312C"/>
    <w:rsid w:val="511E2F45"/>
    <w:rsid w:val="51215F2E"/>
    <w:rsid w:val="514139ED"/>
    <w:rsid w:val="51B377F7"/>
    <w:rsid w:val="51B93B5A"/>
    <w:rsid w:val="51D02958"/>
    <w:rsid w:val="51D2677F"/>
    <w:rsid w:val="51D502A9"/>
    <w:rsid w:val="51FF2D66"/>
    <w:rsid w:val="52040C69"/>
    <w:rsid w:val="52220E33"/>
    <w:rsid w:val="522C6253"/>
    <w:rsid w:val="522F0297"/>
    <w:rsid w:val="52360C1D"/>
    <w:rsid w:val="523D00EC"/>
    <w:rsid w:val="525C2CA5"/>
    <w:rsid w:val="526E239F"/>
    <w:rsid w:val="52746A96"/>
    <w:rsid w:val="52781D42"/>
    <w:rsid w:val="527E7CBE"/>
    <w:rsid w:val="528F4AE3"/>
    <w:rsid w:val="52AF5BA0"/>
    <w:rsid w:val="52B0667B"/>
    <w:rsid w:val="52B36D7D"/>
    <w:rsid w:val="52B932BF"/>
    <w:rsid w:val="52BA0EC3"/>
    <w:rsid w:val="52CB1846"/>
    <w:rsid w:val="52ED01E3"/>
    <w:rsid w:val="530447D0"/>
    <w:rsid w:val="532016A3"/>
    <w:rsid w:val="534568D3"/>
    <w:rsid w:val="534C2BF5"/>
    <w:rsid w:val="535C37E4"/>
    <w:rsid w:val="536A0476"/>
    <w:rsid w:val="538C7D42"/>
    <w:rsid w:val="53973D87"/>
    <w:rsid w:val="53AD6F8E"/>
    <w:rsid w:val="53B807E1"/>
    <w:rsid w:val="53BB318B"/>
    <w:rsid w:val="53C25447"/>
    <w:rsid w:val="53D4245F"/>
    <w:rsid w:val="53E46E3D"/>
    <w:rsid w:val="53E61B63"/>
    <w:rsid w:val="53F6569F"/>
    <w:rsid w:val="53FB3FFC"/>
    <w:rsid w:val="540202A5"/>
    <w:rsid w:val="5415049C"/>
    <w:rsid w:val="5421523A"/>
    <w:rsid w:val="54346DA3"/>
    <w:rsid w:val="54394A6D"/>
    <w:rsid w:val="544F7212"/>
    <w:rsid w:val="54676874"/>
    <w:rsid w:val="546B62E0"/>
    <w:rsid w:val="54756FD1"/>
    <w:rsid w:val="548D3A34"/>
    <w:rsid w:val="549A0C06"/>
    <w:rsid w:val="54A70C33"/>
    <w:rsid w:val="54B406C0"/>
    <w:rsid w:val="54B43AF6"/>
    <w:rsid w:val="54C86B02"/>
    <w:rsid w:val="54CB1828"/>
    <w:rsid w:val="550C2936"/>
    <w:rsid w:val="55102E60"/>
    <w:rsid w:val="552D68C9"/>
    <w:rsid w:val="553462E2"/>
    <w:rsid w:val="55346A10"/>
    <w:rsid w:val="555C459E"/>
    <w:rsid w:val="55702646"/>
    <w:rsid w:val="557E75D0"/>
    <w:rsid w:val="558031E5"/>
    <w:rsid w:val="558544ED"/>
    <w:rsid w:val="559372FE"/>
    <w:rsid w:val="55BC288A"/>
    <w:rsid w:val="55BE7168"/>
    <w:rsid w:val="55DB6BE4"/>
    <w:rsid w:val="55DD7FBD"/>
    <w:rsid w:val="55DE0CD3"/>
    <w:rsid w:val="563F3D73"/>
    <w:rsid w:val="5641344E"/>
    <w:rsid w:val="565736AB"/>
    <w:rsid w:val="566B0AA7"/>
    <w:rsid w:val="56917B21"/>
    <w:rsid w:val="569F4A69"/>
    <w:rsid w:val="56A12A0B"/>
    <w:rsid w:val="56A40692"/>
    <w:rsid w:val="56B50513"/>
    <w:rsid w:val="56D56C75"/>
    <w:rsid w:val="56D66A66"/>
    <w:rsid w:val="56F2152F"/>
    <w:rsid w:val="56F76FAB"/>
    <w:rsid w:val="56FC6584"/>
    <w:rsid w:val="5705172B"/>
    <w:rsid w:val="570E2E1B"/>
    <w:rsid w:val="57144D62"/>
    <w:rsid w:val="571F3DF7"/>
    <w:rsid w:val="5743105F"/>
    <w:rsid w:val="574778AD"/>
    <w:rsid w:val="5770454B"/>
    <w:rsid w:val="5777075C"/>
    <w:rsid w:val="57813BE3"/>
    <w:rsid w:val="579B67DD"/>
    <w:rsid w:val="579C0619"/>
    <w:rsid w:val="57BC7FF6"/>
    <w:rsid w:val="57C71D8C"/>
    <w:rsid w:val="57C92F49"/>
    <w:rsid w:val="57CF6802"/>
    <w:rsid w:val="57D343F2"/>
    <w:rsid w:val="57D45C83"/>
    <w:rsid w:val="57D81CE0"/>
    <w:rsid w:val="57D85B55"/>
    <w:rsid w:val="58162027"/>
    <w:rsid w:val="581D0DA1"/>
    <w:rsid w:val="581E4F58"/>
    <w:rsid w:val="582861ED"/>
    <w:rsid w:val="582C7680"/>
    <w:rsid w:val="5830104F"/>
    <w:rsid w:val="58420E61"/>
    <w:rsid w:val="584B3D46"/>
    <w:rsid w:val="58633E68"/>
    <w:rsid w:val="5866442F"/>
    <w:rsid w:val="58725F88"/>
    <w:rsid w:val="587602DF"/>
    <w:rsid w:val="587F1EE8"/>
    <w:rsid w:val="588E3631"/>
    <w:rsid w:val="58A24677"/>
    <w:rsid w:val="58BF3C97"/>
    <w:rsid w:val="58C52B23"/>
    <w:rsid w:val="58C60010"/>
    <w:rsid w:val="58D801EA"/>
    <w:rsid w:val="58D867BB"/>
    <w:rsid w:val="590E715C"/>
    <w:rsid w:val="59131C51"/>
    <w:rsid w:val="592055BD"/>
    <w:rsid w:val="592A4FCC"/>
    <w:rsid w:val="59333714"/>
    <w:rsid w:val="593C3C84"/>
    <w:rsid w:val="593F0F1E"/>
    <w:rsid w:val="595323AB"/>
    <w:rsid w:val="596A6941"/>
    <w:rsid w:val="597B3226"/>
    <w:rsid w:val="597E73FC"/>
    <w:rsid w:val="598312C1"/>
    <w:rsid w:val="599356EB"/>
    <w:rsid w:val="599F32D7"/>
    <w:rsid w:val="59A03550"/>
    <w:rsid w:val="59A036B8"/>
    <w:rsid w:val="59B137DB"/>
    <w:rsid w:val="59B84F55"/>
    <w:rsid w:val="59D21CB3"/>
    <w:rsid w:val="59D53550"/>
    <w:rsid w:val="59F258CE"/>
    <w:rsid w:val="5A445EB7"/>
    <w:rsid w:val="5A5E6C8B"/>
    <w:rsid w:val="5A792F82"/>
    <w:rsid w:val="5A8A53C5"/>
    <w:rsid w:val="5A8B1B66"/>
    <w:rsid w:val="5A8F70F9"/>
    <w:rsid w:val="5AB72DE5"/>
    <w:rsid w:val="5ABC4231"/>
    <w:rsid w:val="5AC92D54"/>
    <w:rsid w:val="5AD15461"/>
    <w:rsid w:val="5AD33590"/>
    <w:rsid w:val="5AF214EF"/>
    <w:rsid w:val="5AFE4F17"/>
    <w:rsid w:val="5B0E197B"/>
    <w:rsid w:val="5B1603CE"/>
    <w:rsid w:val="5B2F5BDC"/>
    <w:rsid w:val="5B3D17D7"/>
    <w:rsid w:val="5B697974"/>
    <w:rsid w:val="5B815BB6"/>
    <w:rsid w:val="5B8445AC"/>
    <w:rsid w:val="5B862B37"/>
    <w:rsid w:val="5BB13EF8"/>
    <w:rsid w:val="5BDA355E"/>
    <w:rsid w:val="5BE03010"/>
    <w:rsid w:val="5BED06FA"/>
    <w:rsid w:val="5BF0577E"/>
    <w:rsid w:val="5C00627C"/>
    <w:rsid w:val="5C187025"/>
    <w:rsid w:val="5C1D2F2C"/>
    <w:rsid w:val="5C2A494E"/>
    <w:rsid w:val="5C2F5131"/>
    <w:rsid w:val="5C485F11"/>
    <w:rsid w:val="5C6A6CD0"/>
    <w:rsid w:val="5C6E2C37"/>
    <w:rsid w:val="5C70660D"/>
    <w:rsid w:val="5C71794B"/>
    <w:rsid w:val="5C8B3ECB"/>
    <w:rsid w:val="5CA765AC"/>
    <w:rsid w:val="5CB734B6"/>
    <w:rsid w:val="5CC41ADC"/>
    <w:rsid w:val="5CC56688"/>
    <w:rsid w:val="5CD745E9"/>
    <w:rsid w:val="5CEB757D"/>
    <w:rsid w:val="5D015CC2"/>
    <w:rsid w:val="5D5B663E"/>
    <w:rsid w:val="5D770B19"/>
    <w:rsid w:val="5D877000"/>
    <w:rsid w:val="5D9B1024"/>
    <w:rsid w:val="5DAA08C1"/>
    <w:rsid w:val="5DC52012"/>
    <w:rsid w:val="5DD15833"/>
    <w:rsid w:val="5DDD384D"/>
    <w:rsid w:val="5DE13846"/>
    <w:rsid w:val="5DEF0D48"/>
    <w:rsid w:val="5DF03758"/>
    <w:rsid w:val="5DFF3D91"/>
    <w:rsid w:val="5E2E2B3C"/>
    <w:rsid w:val="5E3450B2"/>
    <w:rsid w:val="5E352594"/>
    <w:rsid w:val="5E3616B5"/>
    <w:rsid w:val="5E371829"/>
    <w:rsid w:val="5E381F7D"/>
    <w:rsid w:val="5E3D540F"/>
    <w:rsid w:val="5E3E726F"/>
    <w:rsid w:val="5E3F44DE"/>
    <w:rsid w:val="5E5F0D5C"/>
    <w:rsid w:val="5E61454D"/>
    <w:rsid w:val="5E683A42"/>
    <w:rsid w:val="5E837262"/>
    <w:rsid w:val="5EA21BD9"/>
    <w:rsid w:val="5EA703D2"/>
    <w:rsid w:val="5EC40CF7"/>
    <w:rsid w:val="5EE40D51"/>
    <w:rsid w:val="5EF5200F"/>
    <w:rsid w:val="5F0E1805"/>
    <w:rsid w:val="5F2C66A1"/>
    <w:rsid w:val="5F2C7552"/>
    <w:rsid w:val="5F3831DD"/>
    <w:rsid w:val="5F515664"/>
    <w:rsid w:val="5F54211E"/>
    <w:rsid w:val="5F67767A"/>
    <w:rsid w:val="5F6A7F8F"/>
    <w:rsid w:val="5F6D5690"/>
    <w:rsid w:val="5F811150"/>
    <w:rsid w:val="5F824246"/>
    <w:rsid w:val="5FC146D5"/>
    <w:rsid w:val="5FC80F6A"/>
    <w:rsid w:val="5FCE53A9"/>
    <w:rsid w:val="5FCF68AD"/>
    <w:rsid w:val="5FE10287"/>
    <w:rsid w:val="600B007D"/>
    <w:rsid w:val="601970A2"/>
    <w:rsid w:val="602F6A55"/>
    <w:rsid w:val="60516137"/>
    <w:rsid w:val="605D382D"/>
    <w:rsid w:val="60676175"/>
    <w:rsid w:val="607B2957"/>
    <w:rsid w:val="609F4675"/>
    <w:rsid w:val="60D1296E"/>
    <w:rsid w:val="60DA20E9"/>
    <w:rsid w:val="60ED4778"/>
    <w:rsid w:val="60F3481B"/>
    <w:rsid w:val="60F8089F"/>
    <w:rsid w:val="611F5F0D"/>
    <w:rsid w:val="612627D6"/>
    <w:rsid w:val="612F016F"/>
    <w:rsid w:val="613B032A"/>
    <w:rsid w:val="613B08E9"/>
    <w:rsid w:val="6140762C"/>
    <w:rsid w:val="614E6369"/>
    <w:rsid w:val="61600495"/>
    <w:rsid w:val="61AA6B05"/>
    <w:rsid w:val="61BA6BD1"/>
    <w:rsid w:val="61D162E4"/>
    <w:rsid w:val="61DD5583"/>
    <w:rsid w:val="61E61BE8"/>
    <w:rsid w:val="61EC6A56"/>
    <w:rsid w:val="62207D4F"/>
    <w:rsid w:val="62494933"/>
    <w:rsid w:val="624E71E7"/>
    <w:rsid w:val="624F6DB5"/>
    <w:rsid w:val="625D2D38"/>
    <w:rsid w:val="62726D4B"/>
    <w:rsid w:val="62765540"/>
    <w:rsid w:val="629B56EB"/>
    <w:rsid w:val="62A74AF0"/>
    <w:rsid w:val="62C8087F"/>
    <w:rsid w:val="62E34A01"/>
    <w:rsid w:val="62FA5D35"/>
    <w:rsid w:val="631303DE"/>
    <w:rsid w:val="632241B6"/>
    <w:rsid w:val="63284E81"/>
    <w:rsid w:val="63426A5B"/>
    <w:rsid w:val="63522128"/>
    <w:rsid w:val="63771F12"/>
    <w:rsid w:val="63A43954"/>
    <w:rsid w:val="63B57C72"/>
    <w:rsid w:val="63C216E6"/>
    <w:rsid w:val="63EC7681"/>
    <w:rsid w:val="63F53C2F"/>
    <w:rsid w:val="64027B5F"/>
    <w:rsid w:val="640340A9"/>
    <w:rsid w:val="640E4D4C"/>
    <w:rsid w:val="640F7546"/>
    <w:rsid w:val="6413568A"/>
    <w:rsid w:val="6428058E"/>
    <w:rsid w:val="642B7B14"/>
    <w:rsid w:val="642F454F"/>
    <w:rsid w:val="649D4DF0"/>
    <w:rsid w:val="64AE256C"/>
    <w:rsid w:val="64CD0831"/>
    <w:rsid w:val="64CF281F"/>
    <w:rsid w:val="64EB4E62"/>
    <w:rsid w:val="64F652CB"/>
    <w:rsid w:val="64F96188"/>
    <w:rsid w:val="651377C3"/>
    <w:rsid w:val="65160279"/>
    <w:rsid w:val="651B6E37"/>
    <w:rsid w:val="6527762F"/>
    <w:rsid w:val="653A360E"/>
    <w:rsid w:val="654B1332"/>
    <w:rsid w:val="6552669B"/>
    <w:rsid w:val="65571C89"/>
    <w:rsid w:val="655E0ACE"/>
    <w:rsid w:val="6571597F"/>
    <w:rsid w:val="6571628D"/>
    <w:rsid w:val="6579371F"/>
    <w:rsid w:val="65A4216B"/>
    <w:rsid w:val="65A5754A"/>
    <w:rsid w:val="65B72119"/>
    <w:rsid w:val="65B8712B"/>
    <w:rsid w:val="65CC1AA6"/>
    <w:rsid w:val="65D04939"/>
    <w:rsid w:val="65D63A19"/>
    <w:rsid w:val="65E26439"/>
    <w:rsid w:val="65E43E0F"/>
    <w:rsid w:val="65EB2F7E"/>
    <w:rsid w:val="65F21CBC"/>
    <w:rsid w:val="660438F4"/>
    <w:rsid w:val="6609788A"/>
    <w:rsid w:val="660D76F6"/>
    <w:rsid w:val="661056FF"/>
    <w:rsid w:val="66135AAB"/>
    <w:rsid w:val="662B55E0"/>
    <w:rsid w:val="662F1E99"/>
    <w:rsid w:val="663746D8"/>
    <w:rsid w:val="663A3AD4"/>
    <w:rsid w:val="663E2CF7"/>
    <w:rsid w:val="66406ACB"/>
    <w:rsid w:val="666D6CED"/>
    <w:rsid w:val="66710409"/>
    <w:rsid w:val="66746A16"/>
    <w:rsid w:val="66934586"/>
    <w:rsid w:val="669544DC"/>
    <w:rsid w:val="669C6350"/>
    <w:rsid w:val="66AE2DCC"/>
    <w:rsid w:val="66B377F7"/>
    <w:rsid w:val="66B37FCA"/>
    <w:rsid w:val="66B67024"/>
    <w:rsid w:val="66C36804"/>
    <w:rsid w:val="66C4183F"/>
    <w:rsid w:val="66E31FCB"/>
    <w:rsid w:val="66EF2E83"/>
    <w:rsid w:val="670D3A30"/>
    <w:rsid w:val="673B0B4D"/>
    <w:rsid w:val="674A3E9A"/>
    <w:rsid w:val="67527767"/>
    <w:rsid w:val="675E51B3"/>
    <w:rsid w:val="67636E19"/>
    <w:rsid w:val="67C274E5"/>
    <w:rsid w:val="67C62E70"/>
    <w:rsid w:val="67CA5CED"/>
    <w:rsid w:val="67E70475"/>
    <w:rsid w:val="67F70A25"/>
    <w:rsid w:val="682366E3"/>
    <w:rsid w:val="6824119F"/>
    <w:rsid w:val="683D68C5"/>
    <w:rsid w:val="68634273"/>
    <w:rsid w:val="68651609"/>
    <w:rsid w:val="689A1C94"/>
    <w:rsid w:val="68A22810"/>
    <w:rsid w:val="68A525AF"/>
    <w:rsid w:val="68AA5463"/>
    <w:rsid w:val="68C4284E"/>
    <w:rsid w:val="68C5123C"/>
    <w:rsid w:val="68CA1F7B"/>
    <w:rsid w:val="68CE3C92"/>
    <w:rsid w:val="68D31C98"/>
    <w:rsid w:val="68DE4DFF"/>
    <w:rsid w:val="68ED144E"/>
    <w:rsid w:val="68F902F4"/>
    <w:rsid w:val="690B2B03"/>
    <w:rsid w:val="69113213"/>
    <w:rsid w:val="692B27AA"/>
    <w:rsid w:val="6946149C"/>
    <w:rsid w:val="695906DF"/>
    <w:rsid w:val="69761C3E"/>
    <w:rsid w:val="697647B4"/>
    <w:rsid w:val="698534DB"/>
    <w:rsid w:val="69C83894"/>
    <w:rsid w:val="69CA0E47"/>
    <w:rsid w:val="69CD05BA"/>
    <w:rsid w:val="69D20BCA"/>
    <w:rsid w:val="69E5312C"/>
    <w:rsid w:val="69E74CAA"/>
    <w:rsid w:val="69EA5EAA"/>
    <w:rsid w:val="69FC177C"/>
    <w:rsid w:val="69FF56EF"/>
    <w:rsid w:val="6A123E46"/>
    <w:rsid w:val="6A171065"/>
    <w:rsid w:val="6A65666C"/>
    <w:rsid w:val="6A7D3264"/>
    <w:rsid w:val="6A7E62F0"/>
    <w:rsid w:val="6A8266ED"/>
    <w:rsid w:val="6A9130A4"/>
    <w:rsid w:val="6AC82C0A"/>
    <w:rsid w:val="6ADB2F52"/>
    <w:rsid w:val="6AEA6F9A"/>
    <w:rsid w:val="6AED6557"/>
    <w:rsid w:val="6AFB0D51"/>
    <w:rsid w:val="6B177BA1"/>
    <w:rsid w:val="6B323087"/>
    <w:rsid w:val="6B390410"/>
    <w:rsid w:val="6B4A1F89"/>
    <w:rsid w:val="6B4B3E95"/>
    <w:rsid w:val="6B503165"/>
    <w:rsid w:val="6B5C1484"/>
    <w:rsid w:val="6B7F2D06"/>
    <w:rsid w:val="6B802F86"/>
    <w:rsid w:val="6B8C7F74"/>
    <w:rsid w:val="6B9502C8"/>
    <w:rsid w:val="6BA10413"/>
    <w:rsid w:val="6BB4735D"/>
    <w:rsid w:val="6BB74440"/>
    <w:rsid w:val="6BE45B92"/>
    <w:rsid w:val="6BFD4FDC"/>
    <w:rsid w:val="6C0D2A50"/>
    <w:rsid w:val="6C2D2143"/>
    <w:rsid w:val="6C3D64D9"/>
    <w:rsid w:val="6C556B68"/>
    <w:rsid w:val="6C715195"/>
    <w:rsid w:val="6C755748"/>
    <w:rsid w:val="6C801E62"/>
    <w:rsid w:val="6C817A1D"/>
    <w:rsid w:val="6C94465A"/>
    <w:rsid w:val="6CA87829"/>
    <w:rsid w:val="6CC706A1"/>
    <w:rsid w:val="6CC831E9"/>
    <w:rsid w:val="6CDD2CC5"/>
    <w:rsid w:val="6D085521"/>
    <w:rsid w:val="6D28659A"/>
    <w:rsid w:val="6D2A4C6E"/>
    <w:rsid w:val="6D441D37"/>
    <w:rsid w:val="6D5847C6"/>
    <w:rsid w:val="6D6F5EE6"/>
    <w:rsid w:val="6D873C86"/>
    <w:rsid w:val="6D9364F3"/>
    <w:rsid w:val="6D9B4E67"/>
    <w:rsid w:val="6DA3230A"/>
    <w:rsid w:val="6DB06F57"/>
    <w:rsid w:val="6DB639C3"/>
    <w:rsid w:val="6DDB252C"/>
    <w:rsid w:val="6DE5580C"/>
    <w:rsid w:val="6DE67939"/>
    <w:rsid w:val="6DE7251A"/>
    <w:rsid w:val="6DE8375B"/>
    <w:rsid w:val="6E214BC1"/>
    <w:rsid w:val="6E3568EC"/>
    <w:rsid w:val="6E4166C2"/>
    <w:rsid w:val="6E437C67"/>
    <w:rsid w:val="6E5D1E78"/>
    <w:rsid w:val="6E617EC3"/>
    <w:rsid w:val="6E7B6D13"/>
    <w:rsid w:val="6E843F29"/>
    <w:rsid w:val="6E8E0EA0"/>
    <w:rsid w:val="6E937A88"/>
    <w:rsid w:val="6E961B3D"/>
    <w:rsid w:val="6EA43CBC"/>
    <w:rsid w:val="6EB5217D"/>
    <w:rsid w:val="6EC208D6"/>
    <w:rsid w:val="6EF5656A"/>
    <w:rsid w:val="6F2051FF"/>
    <w:rsid w:val="6F42159C"/>
    <w:rsid w:val="6F465FC0"/>
    <w:rsid w:val="6F535CA0"/>
    <w:rsid w:val="6F615FFD"/>
    <w:rsid w:val="6F73721C"/>
    <w:rsid w:val="6F925909"/>
    <w:rsid w:val="6FCA1ADB"/>
    <w:rsid w:val="6FD0339C"/>
    <w:rsid w:val="6FDA0616"/>
    <w:rsid w:val="6FE8146B"/>
    <w:rsid w:val="700044AB"/>
    <w:rsid w:val="700B28DB"/>
    <w:rsid w:val="70104FC8"/>
    <w:rsid w:val="70137D43"/>
    <w:rsid w:val="7029017A"/>
    <w:rsid w:val="702D7AA0"/>
    <w:rsid w:val="70415D99"/>
    <w:rsid w:val="70470BEB"/>
    <w:rsid w:val="704B6878"/>
    <w:rsid w:val="70527747"/>
    <w:rsid w:val="705A46EB"/>
    <w:rsid w:val="70673BE1"/>
    <w:rsid w:val="70757E03"/>
    <w:rsid w:val="70CA301E"/>
    <w:rsid w:val="70D2408B"/>
    <w:rsid w:val="70E025FA"/>
    <w:rsid w:val="70E67DDB"/>
    <w:rsid w:val="70FF7013"/>
    <w:rsid w:val="710C449B"/>
    <w:rsid w:val="710E15AF"/>
    <w:rsid w:val="71344EA5"/>
    <w:rsid w:val="71391C21"/>
    <w:rsid w:val="7155797A"/>
    <w:rsid w:val="716C1E45"/>
    <w:rsid w:val="71806BC5"/>
    <w:rsid w:val="718414FD"/>
    <w:rsid w:val="718F11DB"/>
    <w:rsid w:val="718F7283"/>
    <w:rsid w:val="71961B80"/>
    <w:rsid w:val="71A67DBF"/>
    <w:rsid w:val="71B433E2"/>
    <w:rsid w:val="71D96332"/>
    <w:rsid w:val="71ED3D46"/>
    <w:rsid w:val="71F14A5A"/>
    <w:rsid w:val="72026E1D"/>
    <w:rsid w:val="722246CE"/>
    <w:rsid w:val="72444B1A"/>
    <w:rsid w:val="724E58C5"/>
    <w:rsid w:val="726318EB"/>
    <w:rsid w:val="72716BBE"/>
    <w:rsid w:val="727F1428"/>
    <w:rsid w:val="728127B7"/>
    <w:rsid w:val="728F075C"/>
    <w:rsid w:val="72922473"/>
    <w:rsid w:val="72A4663C"/>
    <w:rsid w:val="72B0771E"/>
    <w:rsid w:val="72B3400B"/>
    <w:rsid w:val="72F019CB"/>
    <w:rsid w:val="72F8312C"/>
    <w:rsid w:val="730266C5"/>
    <w:rsid w:val="73111B2A"/>
    <w:rsid w:val="73292F36"/>
    <w:rsid w:val="733417AD"/>
    <w:rsid w:val="734519BB"/>
    <w:rsid w:val="73461305"/>
    <w:rsid w:val="73683921"/>
    <w:rsid w:val="736C1504"/>
    <w:rsid w:val="73A31767"/>
    <w:rsid w:val="73AD2019"/>
    <w:rsid w:val="73BF5801"/>
    <w:rsid w:val="73CD28CC"/>
    <w:rsid w:val="73CD6BDC"/>
    <w:rsid w:val="73CE5190"/>
    <w:rsid w:val="73CE5637"/>
    <w:rsid w:val="73EC3C35"/>
    <w:rsid w:val="740B5099"/>
    <w:rsid w:val="740B5C19"/>
    <w:rsid w:val="741A296F"/>
    <w:rsid w:val="742263AF"/>
    <w:rsid w:val="74262DA9"/>
    <w:rsid w:val="743F6E0A"/>
    <w:rsid w:val="74412E52"/>
    <w:rsid w:val="74670D99"/>
    <w:rsid w:val="746D635D"/>
    <w:rsid w:val="74883844"/>
    <w:rsid w:val="74A25DE2"/>
    <w:rsid w:val="74B852FE"/>
    <w:rsid w:val="74BB1A42"/>
    <w:rsid w:val="74BB4393"/>
    <w:rsid w:val="74C31229"/>
    <w:rsid w:val="74C6281D"/>
    <w:rsid w:val="74F37D37"/>
    <w:rsid w:val="750968D7"/>
    <w:rsid w:val="75162E93"/>
    <w:rsid w:val="752D1FE8"/>
    <w:rsid w:val="753613B7"/>
    <w:rsid w:val="753B54AA"/>
    <w:rsid w:val="754C0759"/>
    <w:rsid w:val="75563DD5"/>
    <w:rsid w:val="75595490"/>
    <w:rsid w:val="756316D4"/>
    <w:rsid w:val="756369C7"/>
    <w:rsid w:val="7577163F"/>
    <w:rsid w:val="7592116A"/>
    <w:rsid w:val="75A61537"/>
    <w:rsid w:val="75CC459B"/>
    <w:rsid w:val="75CF26C1"/>
    <w:rsid w:val="75D1555F"/>
    <w:rsid w:val="75E74350"/>
    <w:rsid w:val="75EF60D6"/>
    <w:rsid w:val="760C1801"/>
    <w:rsid w:val="760E4CBF"/>
    <w:rsid w:val="761965D5"/>
    <w:rsid w:val="761C5133"/>
    <w:rsid w:val="7632321C"/>
    <w:rsid w:val="764B45B3"/>
    <w:rsid w:val="764D1A51"/>
    <w:rsid w:val="764F16A7"/>
    <w:rsid w:val="7654197A"/>
    <w:rsid w:val="765E1208"/>
    <w:rsid w:val="76B07BAC"/>
    <w:rsid w:val="76BA18EE"/>
    <w:rsid w:val="76C85BE8"/>
    <w:rsid w:val="770111DD"/>
    <w:rsid w:val="77110C51"/>
    <w:rsid w:val="771D2DEC"/>
    <w:rsid w:val="77AD15DD"/>
    <w:rsid w:val="77CD6257"/>
    <w:rsid w:val="77DC2E98"/>
    <w:rsid w:val="77EB4805"/>
    <w:rsid w:val="77F423BB"/>
    <w:rsid w:val="77FB0C69"/>
    <w:rsid w:val="780022A3"/>
    <w:rsid w:val="78022AA2"/>
    <w:rsid w:val="781B1041"/>
    <w:rsid w:val="78236EC9"/>
    <w:rsid w:val="78317623"/>
    <w:rsid w:val="78343A46"/>
    <w:rsid w:val="783569B6"/>
    <w:rsid w:val="78366EE1"/>
    <w:rsid w:val="783A1189"/>
    <w:rsid w:val="783C2825"/>
    <w:rsid w:val="78423FC8"/>
    <w:rsid w:val="785C5644"/>
    <w:rsid w:val="785D34A1"/>
    <w:rsid w:val="787D4DF5"/>
    <w:rsid w:val="78826BFD"/>
    <w:rsid w:val="7896204D"/>
    <w:rsid w:val="789B07FC"/>
    <w:rsid w:val="78AE25CE"/>
    <w:rsid w:val="78C46F3E"/>
    <w:rsid w:val="78D80BF7"/>
    <w:rsid w:val="78FB7063"/>
    <w:rsid w:val="79022ABB"/>
    <w:rsid w:val="79283D05"/>
    <w:rsid w:val="794F500F"/>
    <w:rsid w:val="79513F59"/>
    <w:rsid w:val="796C5757"/>
    <w:rsid w:val="797F7B27"/>
    <w:rsid w:val="799A0BF8"/>
    <w:rsid w:val="799E2AFC"/>
    <w:rsid w:val="79B531E2"/>
    <w:rsid w:val="79B75928"/>
    <w:rsid w:val="79D15F10"/>
    <w:rsid w:val="79D50791"/>
    <w:rsid w:val="79F50D7E"/>
    <w:rsid w:val="79F70475"/>
    <w:rsid w:val="7A0D12F6"/>
    <w:rsid w:val="7A0E0F8F"/>
    <w:rsid w:val="7A101983"/>
    <w:rsid w:val="7A234FF9"/>
    <w:rsid w:val="7A312C7A"/>
    <w:rsid w:val="7A355EED"/>
    <w:rsid w:val="7A376D19"/>
    <w:rsid w:val="7A44456E"/>
    <w:rsid w:val="7A4B6644"/>
    <w:rsid w:val="7A4E4DBC"/>
    <w:rsid w:val="7AA81E60"/>
    <w:rsid w:val="7AAD5D53"/>
    <w:rsid w:val="7AB16191"/>
    <w:rsid w:val="7AC85493"/>
    <w:rsid w:val="7ADF6110"/>
    <w:rsid w:val="7AEC750F"/>
    <w:rsid w:val="7B052C09"/>
    <w:rsid w:val="7B237582"/>
    <w:rsid w:val="7B2F6B10"/>
    <w:rsid w:val="7B3D6491"/>
    <w:rsid w:val="7B405B42"/>
    <w:rsid w:val="7B6A3ED1"/>
    <w:rsid w:val="7B730F8B"/>
    <w:rsid w:val="7B86719A"/>
    <w:rsid w:val="7B884A76"/>
    <w:rsid w:val="7B921C04"/>
    <w:rsid w:val="7BA31B4B"/>
    <w:rsid w:val="7BA96738"/>
    <w:rsid w:val="7BAA505F"/>
    <w:rsid w:val="7BB71A2D"/>
    <w:rsid w:val="7BBE4809"/>
    <w:rsid w:val="7BD97F83"/>
    <w:rsid w:val="7C14540D"/>
    <w:rsid w:val="7C2806C4"/>
    <w:rsid w:val="7C2E6D97"/>
    <w:rsid w:val="7C3477CA"/>
    <w:rsid w:val="7C5A3DF6"/>
    <w:rsid w:val="7C6B0CED"/>
    <w:rsid w:val="7C6C02CA"/>
    <w:rsid w:val="7C7A10BB"/>
    <w:rsid w:val="7C8D12E6"/>
    <w:rsid w:val="7C937F6D"/>
    <w:rsid w:val="7CAD4F8E"/>
    <w:rsid w:val="7CAF41D9"/>
    <w:rsid w:val="7CBA5B4A"/>
    <w:rsid w:val="7CC51FEB"/>
    <w:rsid w:val="7CDB6ED7"/>
    <w:rsid w:val="7CFC0AA5"/>
    <w:rsid w:val="7D047751"/>
    <w:rsid w:val="7D0B15E0"/>
    <w:rsid w:val="7D0B3BB9"/>
    <w:rsid w:val="7D1224F3"/>
    <w:rsid w:val="7D124684"/>
    <w:rsid w:val="7D194A76"/>
    <w:rsid w:val="7D23780F"/>
    <w:rsid w:val="7D522F9C"/>
    <w:rsid w:val="7D594697"/>
    <w:rsid w:val="7D5E65A2"/>
    <w:rsid w:val="7D8A1F7E"/>
    <w:rsid w:val="7D9205D8"/>
    <w:rsid w:val="7DBB5007"/>
    <w:rsid w:val="7DDA4080"/>
    <w:rsid w:val="7E00759E"/>
    <w:rsid w:val="7E1D14B3"/>
    <w:rsid w:val="7E2B01E9"/>
    <w:rsid w:val="7E4564DA"/>
    <w:rsid w:val="7E875E5A"/>
    <w:rsid w:val="7E9F0FAD"/>
    <w:rsid w:val="7EB26329"/>
    <w:rsid w:val="7ECA3C03"/>
    <w:rsid w:val="7ECD1074"/>
    <w:rsid w:val="7ECE6A08"/>
    <w:rsid w:val="7EDA0D50"/>
    <w:rsid w:val="7EDB5D51"/>
    <w:rsid w:val="7EDE5963"/>
    <w:rsid w:val="7EE7518C"/>
    <w:rsid w:val="7EEF0362"/>
    <w:rsid w:val="7F181EF8"/>
    <w:rsid w:val="7F1F140D"/>
    <w:rsid w:val="7F2333BD"/>
    <w:rsid w:val="7F3E3C53"/>
    <w:rsid w:val="7F422B48"/>
    <w:rsid w:val="7F473BA0"/>
    <w:rsid w:val="7F6133BA"/>
    <w:rsid w:val="7F8D3204"/>
    <w:rsid w:val="7F911575"/>
    <w:rsid w:val="7F9B1C82"/>
    <w:rsid w:val="7FA26879"/>
    <w:rsid w:val="7FAA5E68"/>
    <w:rsid w:val="7FB460F2"/>
    <w:rsid w:val="7FCD3920"/>
    <w:rsid w:val="7FCE3B4C"/>
    <w:rsid w:val="7FDA1D5D"/>
    <w:rsid w:val="7FEB5897"/>
    <w:rsid w:val="7FF8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00" w:line="560" w:lineRule="exact"/>
      <w:ind w:firstLine="1446" w:firstLineChars="200"/>
      <w:jc w:val="both"/>
    </w:pPr>
    <w:rPr>
      <w:rFonts w:ascii="Times New Roman" w:hAnsi="Times New Roman" w:eastAsia="仿宋_GB2312" w:cs="Times New Roman"/>
      <w:kern w:val="2"/>
      <w:sz w:val="28"/>
      <w:szCs w:val="24"/>
      <w:lang w:val="en-US" w:eastAsia="zh-CN" w:bidi="ar-SA"/>
    </w:rPr>
  </w:style>
  <w:style w:type="paragraph" w:styleId="3">
    <w:name w:val="heading 1"/>
    <w:next w:val="1"/>
    <w:link w:val="16"/>
    <w:qFormat/>
    <w:uiPriority w:val="0"/>
    <w:pPr>
      <w:keepNext/>
      <w:keepLines/>
      <w:spacing w:after="50" w:afterLines="50" w:line="560" w:lineRule="exact"/>
      <w:ind w:firstLine="1040" w:firstLineChars="200"/>
      <w:jc w:val="both"/>
      <w:outlineLvl w:val="0"/>
    </w:pPr>
    <w:rPr>
      <w:rFonts w:ascii="Times New Roman" w:hAnsi="Times New Roman" w:eastAsia="黑体" w:cstheme="minorBidi"/>
      <w:b/>
      <w:kern w:val="44"/>
      <w:sz w:val="36"/>
      <w:lang w:val="en-US" w:eastAsia="zh-CN" w:bidi="ar-SA"/>
    </w:rPr>
  </w:style>
  <w:style w:type="paragraph" w:styleId="4">
    <w:name w:val="heading 2"/>
    <w:basedOn w:val="1"/>
    <w:next w:val="1"/>
    <w:link w:val="18"/>
    <w:unhideWhenUsed/>
    <w:qFormat/>
    <w:uiPriority w:val="0"/>
    <w:pPr>
      <w:keepNext/>
      <w:keepLines/>
      <w:spacing w:beforeAutospacing="0" w:after="50" w:afterLines="50" w:afterAutospacing="0" w:line="240" w:lineRule="auto"/>
      <w:ind w:firstLine="1040" w:firstLineChars="200"/>
      <w:outlineLvl w:val="1"/>
    </w:pPr>
    <w:rPr>
      <w:rFonts w:ascii="Times New Roman" w:hAnsi="Times New Roman" w:eastAsia="宋体" w:cs="宋体"/>
      <w:b/>
      <w:sz w:val="32"/>
    </w:rPr>
  </w:style>
  <w:style w:type="paragraph" w:styleId="5">
    <w:name w:val="heading 3"/>
    <w:next w:val="1"/>
    <w:link w:val="20"/>
    <w:unhideWhenUsed/>
    <w:qFormat/>
    <w:uiPriority w:val="0"/>
    <w:pPr>
      <w:keepNext/>
      <w:keepLines/>
      <w:adjustRightInd w:val="0"/>
      <w:spacing w:after="50" w:afterLines="50" w:line="560" w:lineRule="exact"/>
      <w:ind w:firstLine="1040" w:firstLineChars="200"/>
      <w:outlineLvl w:val="2"/>
    </w:pPr>
    <w:rPr>
      <w:rFonts w:ascii="Times New Roman" w:hAnsi="Times New Roman" w:eastAsia="仿宋_GB2312" w:cstheme="minorBidi"/>
      <w:b/>
      <w:sz w:val="32"/>
      <w:lang w:val="en-US" w:eastAsia="zh-CN" w:bidi="ar-SA"/>
    </w:rPr>
  </w:style>
  <w:style w:type="paragraph" w:styleId="6">
    <w:name w:val="heading 4"/>
    <w:basedOn w:val="1"/>
    <w:next w:val="1"/>
    <w:semiHidden/>
    <w:unhideWhenUsed/>
    <w:qFormat/>
    <w:uiPriority w:val="0"/>
    <w:pPr>
      <w:keepNext/>
      <w:keepLines/>
      <w:spacing w:beforeAutospacing="0" w:after="10" w:afterLines="0" w:afterAutospacing="0" w:line="240" w:lineRule="auto"/>
      <w:ind w:firstLine="1040" w:firstLineChars="200"/>
      <w:outlineLvl w:val="3"/>
    </w:pPr>
    <w:rPr>
      <w:rFonts w:ascii="Times New Roman" w:hAnsi="Times New Roman"/>
      <w:b/>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Lines="0" w:afterAutospacing="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footnote text"/>
    <w:basedOn w:val="1"/>
    <w:qFormat/>
    <w:uiPriority w:val="0"/>
    <w:pPr>
      <w:snapToGrid w:val="0"/>
      <w:spacing w:line="240" w:lineRule="atLeast"/>
      <w:ind w:firstLine="0" w:firstLineChars="0"/>
      <w:jc w:val="left"/>
    </w:pPr>
    <w:rPr>
      <w:rFonts w:ascii="Times New Roman" w:hAnsi="Times New Roman"/>
      <w:sz w:val="21"/>
    </w:rPr>
  </w:style>
  <w:style w:type="paragraph" w:styleId="11">
    <w:name w:val="toc 2"/>
    <w:basedOn w:val="1"/>
    <w:next w:val="1"/>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otnote reference"/>
    <w:basedOn w:val="14"/>
    <w:qFormat/>
    <w:uiPriority w:val="0"/>
    <w:rPr>
      <w:vertAlign w:val="superscript"/>
    </w:rPr>
  </w:style>
  <w:style w:type="character" w:customStyle="1" w:styleId="16">
    <w:name w:val="标题 1 Char"/>
    <w:link w:val="3"/>
    <w:qFormat/>
    <w:uiPriority w:val="0"/>
    <w:rPr>
      <w:rFonts w:ascii="Times New Roman" w:hAnsi="Times New Roman" w:eastAsia="黑体"/>
      <w:b/>
      <w:bCs/>
      <w:kern w:val="44"/>
      <w:sz w:val="36"/>
      <w:szCs w:val="44"/>
    </w:rPr>
  </w:style>
  <w:style w:type="paragraph" w:customStyle="1" w:styleId="17">
    <w:name w:val="表格"/>
    <w:link w:val="27"/>
    <w:qFormat/>
    <w:uiPriority w:val="0"/>
    <w:pPr>
      <w:spacing w:line="240" w:lineRule="auto"/>
      <w:jc w:val="center"/>
    </w:pPr>
    <w:rPr>
      <w:rFonts w:ascii="Times New Roman" w:hAnsi="Times New Roman" w:eastAsia="宋体" w:cstheme="minorBidi"/>
      <w:sz w:val="21"/>
    </w:rPr>
  </w:style>
  <w:style w:type="character" w:customStyle="1" w:styleId="18">
    <w:name w:val="标题 2 Char2"/>
    <w:link w:val="4"/>
    <w:qFormat/>
    <w:uiPriority w:val="9"/>
    <w:rPr>
      <w:rFonts w:ascii="Times New Roman" w:hAnsi="Times New Roman" w:eastAsia="宋体" w:cs="宋体"/>
      <w:b/>
      <w:bCs/>
      <w:kern w:val="2"/>
      <w:sz w:val="32"/>
      <w:szCs w:val="32"/>
    </w:rPr>
  </w:style>
  <w:style w:type="paragraph" w:customStyle="1" w:styleId="19">
    <w:name w:val="图、表标题"/>
    <w:link w:val="28"/>
    <w:qFormat/>
    <w:uiPriority w:val="0"/>
    <w:pPr>
      <w:jc w:val="center"/>
    </w:pPr>
    <w:rPr>
      <w:rFonts w:ascii="Times New Roman" w:hAnsi="Times New Roman" w:eastAsia="宋体" w:cstheme="minorBidi"/>
      <w:b/>
      <w:sz w:val="21"/>
    </w:rPr>
  </w:style>
  <w:style w:type="character" w:customStyle="1" w:styleId="20">
    <w:name w:val="标题 3 Char"/>
    <w:link w:val="5"/>
    <w:qFormat/>
    <w:uiPriority w:val="0"/>
    <w:rPr>
      <w:rFonts w:ascii="Times New Roman" w:hAnsi="Times New Roman" w:eastAsia="仿宋_GB2312" w:cstheme="minorBidi"/>
      <w:b/>
      <w:sz w:val="32"/>
    </w:rPr>
  </w:style>
  <w:style w:type="paragraph" w:customStyle="1" w:styleId="21">
    <w:name w:val="标准文件_字母编号列项（一级）"/>
    <w:qFormat/>
    <w:uiPriority w:val="0"/>
    <w:pPr>
      <w:numPr>
        <w:ilvl w:val="0"/>
        <w:numId w:val="1"/>
      </w:numPr>
      <w:jc w:val="both"/>
    </w:pPr>
    <w:rPr>
      <w:rFonts w:ascii="宋体" w:hAnsi="Times New Roman" w:eastAsia="宋体" w:cs="Times New Roman"/>
      <w:sz w:val="21"/>
      <w:lang w:val="en-US" w:eastAsia="zh-CN" w:bidi="ar-SA"/>
    </w:rPr>
  </w:style>
  <w:style w:type="paragraph" w:customStyle="1" w:styleId="22">
    <w:name w:val="标准文件_正文公式"/>
    <w:basedOn w:val="1"/>
    <w:next w:val="23"/>
    <w:qFormat/>
    <w:uiPriority w:val="0"/>
    <w:pPr>
      <w:tabs>
        <w:tab w:val="center" w:pos="4678"/>
        <w:tab w:val="right" w:leader="middleDot" w:pos="9356"/>
      </w:tabs>
      <w:spacing w:line="240" w:lineRule="auto"/>
    </w:pPr>
    <w:rPr>
      <w:rFonts w:ascii="宋体" w:hAnsi="宋体"/>
    </w:rPr>
  </w:style>
  <w:style w:type="paragraph" w:customStyle="1" w:styleId="23">
    <w:name w:val="标准文件_标准正文"/>
    <w:basedOn w:val="1"/>
    <w:next w:val="24"/>
    <w:qFormat/>
    <w:uiPriority w:val="0"/>
    <w:pPr>
      <w:snapToGrid w:val="0"/>
      <w:ind w:firstLine="200" w:firstLineChars="200"/>
    </w:pPr>
    <w:rPr>
      <w:kern w:val="0"/>
    </w:rPr>
  </w:style>
  <w:style w:type="paragraph" w:customStyle="1" w:styleId="24">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
    <w:name w:val="标准文件_表格"/>
    <w:basedOn w:val="24"/>
    <w:qFormat/>
    <w:uiPriority w:val="0"/>
    <w:pPr>
      <w:ind w:firstLine="0" w:firstLineChars="0"/>
      <w:jc w:val="center"/>
    </w:pPr>
    <w:rPr>
      <w:sz w:val="18"/>
    </w:rPr>
  </w:style>
  <w:style w:type="paragraph" w:customStyle="1" w:styleId="26">
    <w:name w:val="标准文件_注："/>
    <w:next w:val="1"/>
    <w:qFormat/>
    <w:uiPriority w:val="0"/>
    <w:pPr>
      <w:widowControl w:val="0"/>
      <w:numPr>
        <w:ilvl w:val="0"/>
        <w:numId w:val="2"/>
      </w:numPr>
      <w:autoSpaceDE w:val="0"/>
      <w:autoSpaceDN w:val="0"/>
      <w:jc w:val="both"/>
    </w:pPr>
    <w:rPr>
      <w:rFonts w:ascii="宋体" w:hAnsi="Times New Roman" w:eastAsia="宋体" w:cs="Times New Roman"/>
      <w:sz w:val="18"/>
      <w:szCs w:val="18"/>
      <w:lang w:val="en-US" w:eastAsia="zh-CN" w:bidi="ar-SA"/>
    </w:rPr>
  </w:style>
  <w:style w:type="character" w:customStyle="1" w:styleId="27">
    <w:name w:val="表格 Char"/>
    <w:link w:val="17"/>
    <w:qFormat/>
    <w:uiPriority w:val="0"/>
    <w:rPr>
      <w:rFonts w:ascii="Times New Roman" w:hAnsi="Times New Roman" w:eastAsia="宋体" w:cstheme="minorBidi"/>
      <w:sz w:val="21"/>
    </w:rPr>
  </w:style>
  <w:style w:type="character" w:customStyle="1" w:styleId="28">
    <w:name w:val="图、表标题 Char1"/>
    <w:link w:val="19"/>
    <w:qFormat/>
    <w:uiPriority w:val="0"/>
    <w:rPr>
      <w:rFonts w:ascii="Times New Roman" w:hAnsi="Times New Roman" w:eastAsia="宋体" w:cstheme="minorBidi"/>
      <w:b/>
      <w:sz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[工作簿1]Sheet1!$D$8</c:f>
              <c:strCache>
                <c:ptCount val="1"/>
                <c:pt idx="0">
                  <c:v>全国机架规模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[工作簿1]Sheet1!$C$9:$C$12</c:f>
              <c:numCache>
                <c:formatCode>General</c:formatCode>
                <c:ptCount val="4"/>
                <c:pt idx="0">
                  <c:v>2016</c:v>
                </c:pt>
                <c:pt idx="1">
                  <c:v>2017</c:v>
                </c:pt>
                <c:pt idx="2">
                  <c:v>2018</c:v>
                </c:pt>
                <c:pt idx="3">
                  <c:v>2019</c:v>
                </c:pt>
              </c:numCache>
            </c:numRef>
          </c:cat>
          <c:val>
            <c:numRef>
              <c:f>[工作簿1]Sheet1!$D$9:$D$12</c:f>
              <c:numCache>
                <c:formatCode>General</c:formatCode>
                <c:ptCount val="4"/>
                <c:pt idx="0">
                  <c:v>124</c:v>
                </c:pt>
                <c:pt idx="1">
                  <c:v>166</c:v>
                </c:pt>
                <c:pt idx="2">
                  <c:v>220</c:v>
                </c:pt>
                <c:pt idx="3">
                  <c:v>315</c:v>
                </c:pt>
              </c:numCache>
            </c:numRef>
          </c:val>
        </c:ser>
        <c:dLbls>
          <c:showLegendKey val="0"/>
          <c:showVal val="1"/>
          <c:showCatName val="0"/>
          <c:showSerName val="0"/>
          <c:showPercent val="0"/>
          <c:showBubbleSize val="0"/>
        </c:dLbls>
        <c:gapWidth val="269"/>
        <c:overlap val="-27"/>
        <c:axId val="593237175"/>
        <c:axId val="592128786"/>
      </c:barChart>
      <c:lineChart>
        <c:grouping val="standard"/>
        <c:varyColors val="0"/>
        <c:ser>
          <c:idx val="1"/>
          <c:order val="1"/>
          <c:tx>
            <c:strRef>
              <c:f>[工作簿1]Sheet1!$E$8</c:f>
              <c:strCache>
                <c:ptCount val="1"/>
                <c:pt idx="0">
                  <c:v>增速</c:v>
                </c:pt>
              </c:strCache>
            </c:strRef>
          </c:tx>
          <c:spPr>
            <a:ln w="38100" cap="rnd">
              <a:solidFill>
                <a:schemeClr val="accent2"/>
              </a:solidFill>
              <a:round/>
            </a:ln>
            <a:effectLst/>
          </c:spPr>
          <c:marker>
            <c:symbol val="none"/>
          </c:marker>
          <c:dLbls>
            <c:dLbl>
              <c:idx val="2"/>
              <c:layout>
                <c:manualLayout>
                  <c:x val="-0.0270833333333333"/>
                  <c:y val="-0.0694444444444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[工作簿1]Sheet1!$E$9:$E$12</c:f>
              <c:numCache>
                <c:formatCode>General</c:formatCode>
                <c:ptCount val="4"/>
                <c:pt idx="1" c:formatCode="0.0%">
                  <c:v>0.338709677419355</c:v>
                </c:pt>
                <c:pt idx="2" c:formatCode="0.0%">
                  <c:v>0.325301204819277</c:v>
                </c:pt>
                <c:pt idx="3" c:formatCode="0.0%">
                  <c:v>0.431818181818182</c:v>
                </c:pt>
              </c:numCache>
            </c:numRef>
          </c:val>
          <c:smooth val="0"/>
        </c:ser>
        <c:dLbls>
          <c:showLegendKey val="0"/>
          <c:showVal val="1"/>
          <c:showCatName val="0"/>
          <c:showSerName val="0"/>
          <c:showPercent val="0"/>
          <c:showBubbleSize val="0"/>
        </c:dLbls>
        <c:marker val="0"/>
        <c:smooth val="0"/>
        <c:axId val="167202159"/>
        <c:axId val="198291432"/>
      </c:lineChart>
      <c:catAx>
        <c:axId val="5932371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92128786"/>
        <c:crosses val="autoZero"/>
        <c:auto val="1"/>
        <c:lblAlgn val="ctr"/>
        <c:lblOffset val="100"/>
        <c:noMultiLvlLbl val="0"/>
      </c:catAx>
      <c:valAx>
        <c:axId val="59212878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机架数（单位：万架）</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3237175"/>
        <c:crosses val="autoZero"/>
        <c:crossBetween val="between"/>
      </c:valAx>
      <c:catAx>
        <c:axId val="167202159"/>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198291432"/>
        <c:crosses val="autoZero"/>
        <c:auto val="1"/>
        <c:lblAlgn val="ctr"/>
        <c:lblOffset val="100"/>
        <c:noMultiLvlLbl val="0"/>
      </c:catAx>
      <c:valAx>
        <c:axId val="198291432"/>
        <c:scaling>
          <c:orientation val="minMax"/>
        </c:scaling>
        <c:delete val="0"/>
        <c:axPos val="r"/>
        <c:numFmt formatCode="0.0%" sourceLinked="0"/>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202159"/>
        <c:crosses val="max"/>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2021-04-09T09:20:00Z</dcterms:created>
  <dc:creator>LT</dc:creator>
  <cp:lastModifiedBy>mArxnLqiu</cp:lastModifiedBy>
  <dcterms:modified xsi:type="dcterms:W3CDTF">2021-11-02T06:58:57Z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4F799F255E834AE08F30235181F214C1</vt:lpwstr>
  </property>
</Properties>
</file>