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lang w:val="en-US" w:eastAsia="zh-CN"/>
        </w:rPr>
        <w:t>一、修订背景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为提升中小企业创新能力和专业化水平，促进中小企业高质量发展，助力实现产业基础高级化和产业链现代化，根据工业和信息化部《优质中小企业梯度培育管理暂行办法》，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月，我厅印发了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《广东省优质中小企业梯度培育管理实施细则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（试行）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，进一步规范推进了我省优质中小企业梯度培育工作，截至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培育创新型中小企业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42185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家、专精特新中小企业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27339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家和专精特新“小巨人”企业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1459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家，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数量均居于全国前列，取得了显著成效。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信部加强专精特新中小企业培育工作、持续擦亮专精特新品牌要求，为进一步优化培育工作机制，提升我省专精特新企业质量品牌，促进要素保障更加聚焦、赋能专精特新企业高质量发展，更好发挥补链延链强链作用，参照江苏、浙江等省份有关做法，结合我省优质中小企业培育现状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我厅组织对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《广东省优质中小企业梯度培育管理实施细则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（试行）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粤工信规字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〔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〕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修订，形成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《广东省优质中小企业梯度培育管理实施细则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（修订稿）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二、修订主要内容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一是进一步优化了梯度培育机制。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市负责创新型中小企业评价、专精特新中小企业和专精特新“小巨人”企业审核推荐，其中，广州、佛山和东莞专精特新中小企业的审核、实地抽查和公示由地市自行负责；省厅负责其他地市专精特新中小企业的审核、实地抽查和公示，公告全省专精特新中小企业名单，以及专精特新“小巨人”企业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二是调整了专精特新中小企业、专精特新“小巨人”企业预期培育目标。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根据当前优质中小企业培育实际情况，结合《广东省推动专精特新企业高质量发展的指导意见》提出的工作目标，将预期培育目标调整为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到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2027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年，累计培育超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家专精特新“小巨人”企业、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20000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家左右专精特新中小企业和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100000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家左右创新型中小企业。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0"/>
          <w:kern w:val="0"/>
          <w:sz w:val="32"/>
          <w:szCs w:val="32"/>
          <w:shd w:val="clear" w:color="auto" w:fill="FFFFFF"/>
          <w:lang w:eastAsia="zh-CN"/>
        </w:rPr>
        <w:t>三是明确了企业复核通过后的有效期，以及异地搬迁企业的资质管理。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细则修订后明确了创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新型中小企业和专精特新中小企业复核通过后，有效期延长三年；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异地迁入企业要主动向当地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中小企业主管部门报备优质中小企业资质情况，有效期内的继续有效，到期复核按修订后的实施细则执行。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pacing w:val="0"/>
          <w:kern w:val="0"/>
          <w:sz w:val="32"/>
          <w:szCs w:val="32"/>
          <w:shd w:val="clear" w:color="auto" w:fill="FFFFFF"/>
          <w:lang w:eastAsia="zh-CN"/>
        </w:rPr>
        <w:t>四是提高了专精特新中小企业认定条件的评价得分。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为贯彻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工信部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加强专精特新中小企业培育工作、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持续擦亮专精特新品牌要求，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我省专精特新中小企业认定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促进要素保障更加聚焦、赋能专精特新企业高质量发展，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将专精特新中小企业认定条件的评价得分由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分提高到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70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分，其余工信部统一的指标未作调整。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0"/>
          <w:kern w:val="0"/>
          <w:sz w:val="32"/>
          <w:szCs w:val="32"/>
          <w:shd w:val="clear" w:color="auto" w:fill="FFFFFF"/>
          <w:lang w:eastAsia="zh-CN"/>
        </w:rPr>
        <w:t>五是完善了专精特新中小企业认定标准中我省自定的特色化指标。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一方面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主导产品领域向工业“六基”、制造强国和网络强国聚焦，促进专精特新中小企业与专精特新“小巨人”企业标准之间有序衔接；另一方面创新是专精特新企业的灵魂，人才是创新的关键，增设企业人才分数项，有助于引导企业加强人才队伍建设，夯实创新发展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粗黑宋简体" w:cs="Times New Roman"/>
          <w:kern w:val="2"/>
          <w:sz w:val="32"/>
          <w:szCs w:val="32"/>
          <w:lang w:val="en-US" w:eastAsia="zh-CN" w:bidi="ar-SA"/>
        </w:rPr>
        <w:t>2-1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修订情况及说明</w:t>
      </w:r>
    </w:p>
    <w:sectPr>
      <w:pgSz w:w="11906" w:h="16838"/>
      <w:pgMar w:top="144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Y1MjU4YjA0ZWY3MTg4MTc0ZGMyYWU0MTVjZjgifQ=="/>
  </w:docVars>
  <w:rsids>
    <w:rsidRoot w:val="00172A27"/>
    <w:rsid w:val="02CC6AD0"/>
    <w:rsid w:val="0388408C"/>
    <w:rsid w:val="03FFA290"/>
    <w:rsid w:val="05244F4C"/>
    <w:rsid w:val="06D73361"/>
    <w:rsid w:val="07230354"/>
    <w:rsid w:val="07DC6755"/>
    <w:rsid w:val="0C0A1AE2"/>
    <w:rsid w:val="0CB4ED5C"/>
    <w:rsid w:val="0F07563B"/>
    <w:rsid w:val="0F6E4793"/>
    <w:rsid w:val="10BD2524"/>
    <w:rsid w:val="120534DD"/>
    <w:rsid w:val="121B3B21"/>
    <w:rsid w:val="13630B49"/>
    <w:rsid w:val="15E7F08C"/>
    <w:rsid w:val="17AB6A11"/>
    <w:rsid w:val="17F2264F"/>
    <w:rsid w:val="18273274"/>
    <w:rsid w:val="19FD684E"/>
    <w:rsid w:val="1BFF5B3F"/>
    <w:rsid w:val="1CE727C6"/>
    <w:rsid w:val="1DB93095"/>
    <w:rsid w:val="1E1F0786"/>
    <w:rsid w:val="21B80FA4"/>
    <w:rsid w:val="224FD0D3"/>
    <w:rsid w:val="25E16FED"/>
    <w:rsid w:val="26DE1626"/>
    <w:rsid w:val="27AB9130"/>
    <w:rsid w:val="27BD0204"/>
    <w:rsid w:val="2A0315D4"/>
    <w:rsid w:val="2BAA511A"/>
    <w:rsid w:val="2CC579D1"/>
    <w:rsid w:val="337EB318"/>
    <w:rsid w:val="34FE5814"/>
    <w:rsid w:val="35F419DE"/>
    <w:rsid w:val="35FD3FCB"/>
    <w:rsid w:val="36BB6104"/>
    <w:rsid w:val="36F706B5"/>
    <w:rsid w:val="37F74398"/>
    <w:rsid w:val="393B40A2"/>
    <w:rsid w:val="39BD1729"/>
    <w:rsid w:val="3A683CF4"/>
    <w:rsid w:val="3BD7F834"/>
    <w:rsid w:val="3C5F13B1"/>
    <w:rsid w:val="3CFF85E1"/>
    <w:rsid w:val="3DF040EC"/>
    <w:rsid w:val="3DFFA102"/>
    <w:rsid w:val="3E13C4B2"/>
    <w:rsid w:val="3E2E2624"/>
    <w:rsid w:val="3E47B632"/>
    <w:rsid w:val="3E51D192"/>
    <w:rsid w:val="3E891F6D"/>
    <w:rsid w:val="3EAB0813"/>
    <w:rsid w:val="3FDF393F"/>
    <w:rsid w:val="3FE7A480"/>
    <w:rsid w:val="3FEB1B1D"/>
    <w:rsid w:val="3FEFA87C"/>
    <w:rsid w:val="4205058A"/>
    <w:rsid w:val="422E312E"/>
    <w:rsid w:val="43F565F9"/>
    <w:rsid w:val="4CE0596C"/>
    <w:rsid w:val="4EF7E094"/>
    <w:rsid w:val="4F8E5B53"/>
    <w:rsid w:val="4FEF3B59"/>
    <w:rsid w:val="514320F8"/>
    <w:rsid w:val="516FBD99"/>
    <w:rsid w:val="51874608"/>
    <w:rsid w:val="51E50DA0"/>
    <w:rsid w:val="545024C8"/>
    <w:rsid w:val="545F361A"/>
    <w:rsid w:val="54DA1ED2"/>
    <w:rsid w:val="552E6C7D"/>
    <w:rsid w:val="563A071B"/>
    <w:rsid w:val="57A1B977"/>
    <w:rsid w:val="57F928AF"/>
    <w:rsid w:val="57FE9217"/>
    <w:rsid w:val="57FEB3C0"/>
    <w:rsid w:val="58B80B2A"/>
    <w:rsid w:val="5A632296"/>
    <w:rsid w:val="5A843DDB"/>
    <w:rsid w:val="5AFF7922"/>
    <w:rsid w:val="5B5D070E"/>
    <w:rsid w:val="5BB47B74"/>
    <w:rsid w:val="5BF78308"/>
    <w:rsid w:val="5CD6EED7"/>
    <w:rsid w:val="5DF8C80F"/>
    <w:rsid w:val="5EF52B38"/>
    <w:rsid w:val="5F5902C5"/>
    <w:rsid w:val="5F852081"/>
    <w:rsid w:val="5FAEDD2D"/>
    <w:rsid w:val="5FAF4EAD"/>
    <w:rsid w:val="5FDB2D0D"/>
    <w:rsid w:val="5FED3D75"/>
    <w:rsid w:val="5FFF7CD4"/>
    <w:rsid w:val="60617544"/>
    <w:rsid w:val="60B84E60"/>
    <w:rsid w:val="61F7715A"/>
    <w:rsid w:val="625C41D4"/>
    <w:rsid w:val="625F3D8F"/>
    <w:rsid w:val="627361E9"/>
    <w:rsid w:val="62FE04A2"/>
    <w:rsid w:val="663E4FF9"/>
    <w:rsid w:val="666A7642"/>
    <w:rsid w:val="674DCD79"/>
    <w:rsid w:val="6B4FC679"/>
    <w:rsid w:val="6B7F8FF9"/>
    <w:rsid w:val="6BDAABB8"/>
    <w:rsid w:val="6DBE283C"/>
    <w:rsid w:val="6DE13761"/>
    <w:rsid w:val="6E0B7A88"/>
    <w:rsid w:val="6F177470"/>
    <w:rsid w:val="6FEB7E6A"/>
    <w:rsid w:val="6FF2A4D9"/>
    <w:rsid w:val="6FF6EBB8"/>
    <w:rsid w:val="6FFE0FDA"/>
    <w:rsid w:val="6FFEA97C"/>
    <w:rsid w:val="71FED9AE"/>
    <w:rsid w:val="730101C5"/>
    <w:rsid w:val="732514DA"/>
    <w:rsid w:val="73BC8E72"/>
    <w:rsid w:val="73D77824"/>
    <w:rsid w:val="745B39A7"/>
    <w:rsid w:val="757271FA"/>
    <w:rsid w:val="75BA294F"/>
    <w:rsid w:val="75CFE543"/>
    <w:rsid w:val="76AFBB4E"/>
    <w:rsid w:val="777F0D2A"/>
    <w:rsid w:val="77BB0F3D"/>
    <w:rsid w:val="77DA3F98"/>
    <w:rsid w:val="77EFA251"/>
    <w:rsid w:val="77F786AE"/>
    <w:rsid w:val="77FDF10A"/>
    <w:rsid w:val="77FE2460"/>
    <w:rsid w:val="79B1801D"/>
    <w:rsid w:val="79DE2EEA"/>
    <w:rsid w:val="7A27AA1C"/>
    <w:rsid w:val="7AE83ABA"/>
    <w:rsid w:val="7B5F9D3D"/>
    <w:rsid w:val="7BA774EA"/>
    <w:rsid w:val="7BBEB764"/>
    <w:rsid w:val="7BCDDDE7"/>
    <w:rsid w:val="7BDDD4A0"/>
    <w:rsid w:val="7BFC8E92"/>
    <w:rsid w:val="7BFDC512"/>
    <w:rsid w:val="7D075BE8"/>
    <w:rsid w:val="7D3EF7F4"/>
    <w:rsid w:val="7D90EE34"/>
    <w:rsid w:val="7DB7AD52"/>
    <w:rsid w:val="7DBED1A0"/>
    <w:rsid w:val="7DF346CB"/>
    <w:rsid w:val="7DFB84AA"/>
    <w:rsid w:val="7E97ABA7"/>
    <w:rsid w:val="7EBAC607"/>
    <w:rsid w:val="7F7FD78F"/>
    <w:rsid w:val="7F841831"/>
    <w:rsid w:val="7FAF9D31"/>
    <w:rsid w:val="7FB769BB"/>
    <w:rsid w:val="7FB9CAC9"/>
    <w:rsid w:val="7FBF2D15"/>
    <w:rsid w:val="7FBF4896"/>
    <w:rsid w:val="7FCF259E"/>
    <w:rsid w:val="7FDB9696"/>
    <w:rsid w:val="7FDF324D"/>
    <w:rsid w:val="7FFBA17F"/>
    <w:rsid w:val="7FFCE576"/>
    <w:rsid w:val="7FFD7592"/>
    <w:rsid w:val="7FFDED51"/>
    <w:rsid w:val="8B9133D5"/>
    <w:rsid w:val="8CF72F0C"/>
    <w:rsid w:val="8EF4BDB4"/>
    <w:rsid w:val="9771B7CF"/>
    <w:rsid w:val="97BB72AF"/>
    <w:rsid w:val="99DFFF49"/>
    <w:rsid w:val="9AD7E3C0"/>
    <w:rsid w:val="A7FFC4ED"/>
    <w:rsid w:val="ABBF20D5"/>
    <w:rsid w:val="AFFD8630"/>
    <w:rsid w:val="AFFD94DB"/>
    <w:rsid w:val="AFFF3826"/>
    <w:rsid w:val="B3F73F1C"/>
    <w:rsid w:val="B7B3B96D"/>
    <w:rsid w:val="B7EB6B63"/>
    <w:rsid w:val="B9B7D32A"/>
    <w:rsid w:val="BBFD1AE9"/>
    <w:rsid w:val="BDF98B89"/>
    <w:rsid w:val="BEABAEDA"/>
    <w:rsid w:val="BEBD4C10"/>
    <w:rsid w:val="BEFF9546"/>
    <w:rsid w:val="BF7FB803"/>
    <w:rsid w:val="BF9A1415"/>
    <w:rsid w:val="BFCF8731"/>
    <w:rsid w:val="BFD3103A"/>
    <w:rsid w:val="BFFE959A"/>
    <w:rsid w:val="C757E487"/>
    <w:rsid w:val="C7AFE44F"/>
    <w:rsid w:val="C7F56A11"/>
    <w:rsid w:val="C8FDE5F5"/>
    <w:rsid w:val="CBF706A8"/>
    <w:rsid w:val="D1DD1CD5"/>
    <w:rsid w:val="D63D8AF8"/>
    <w:rsid w:val="D87791BF"/>
    <w:rsid w:val="DB4F61C8"/>
    <w:rsid w:val="DBBF2F07"/>
    <w:rsid w:val="DBDDABD6"/>
    <w:rsid w:val="DBEC2420"/>
    <w:rsid w:val="DBFA72DB"/>
    <w:rsid w:val="DBFF92F7"/>
    <w:rsid w:val="DF82E7DD"/>
    <w:rsid w:val="DF9E2A1C"/>
    <w:rsid w:val="DFD9F70B"/>
    <w:rsid w:val="DFDF208E"/>
    <w:rsid w:val="DFFBD1F9"/>
    <w:rsid w:val="DFFDB02A"/>
    <w:rsid w:val="DFFFFB24"/>
    <w:rsid w:val="E3DF0448"/>
    <w:rsid w:val="EA7F2CE9"/>
    <w:rsid w:val="EBFE6933"/>
    <w:rsid w:val="EDCD16CC"/>
    <w:rsid w:val="EDD7F69A"/>
    <w:rsid w:val="EF7FED7B"/>
    <w:rsid w:val="EF9539B5"/>
    <w:rsid w:val="EF97C665"/>
    <w:rsid w:val="EFBA69AF"/>
    <w:rsid w:val="EFD606CC"/>
    <w:rsid w:val="EFEC261E"/>
    <w:rsid w:val="EFFF25E6"/>
    <w:rsid w:val="F19FD55E"/>
    <w:rsid w:val="F23F0450"/>
    <w:rsid w:val="F276C7BD"/>
    <w:rsid w:val="F577A5E0"/>
    <w:rsid w:val="F5BB63FB"/>
    <w:rsid w:val="F5FDBB6C"/>
    <w:rsid w:val="F7BF4837"/>
    <w:rsid w:val="F7D773DF"/>
    <w:rsid w:val="F7DF6EA7"/>
    <w:rsid w:val="F7EF81B5"/>
    <w:rsid w:val="F7EFC590"/>
    <w:rsid w:val="F7FEA42D"/>
    <w:rsid w:val="F7FF1670"/>
    <w:rsid w:val="F7FF8805"/>
    <w:rsid w:val="F7FFD4C6"/>
    <w:rsid w:val="F81FAE86"/>
    <w:rsid w:val="F93A544F"/>
    <w:rsid w:val="F9BFC10B"/>
    <w:rsid w:val="F9F74468"/>
    <w:rsid w:val="FAADF4F7"/>
    <w:rsid w:val="FACB734E"/>
    <w:rsid w:val="FAEFAA15"/>
    <w:rsid w:val="FB2587B2"/>
    <w:rsid w:val="FB3CEC2D"/>
    <w:rsid w:val="FB7FE134"/>
    <w:rsid w:val="FBF015D1"/>
    <w:rsid w:val="FBF4A0E0"/>
    <w:rsid w:val="FCF33FD2"/>
    <w:rsid w:val="FCFECF85"/>
    <w:rsid w:val="FD1B510C"/>
    <w:rsid w:val="FD7A1361"/>
    <w:rsid w:val="FD7E41E1"/>
    <w:rsid w:val="FD9BA8AF"/>
    <w:rsid w:val="FDBD2D07"/>
    <w:rsid w:val="FDDFD080"/>
    <w:rsid w:val="FDEF295D"/>
    <w:rsid w:val="FDFC4978"/>
    <w:rsid w:val="FDFF54D3"/>
    <w:rsid w:val="FE5FEB1F"/>
    <w:rsid w:val="FEED1FE2"/>
    <w:rsid w:val="FF3E371F"/>
    <w:rsid w:val="FF4B6E8C"/>
    <w:rsid w:val="FF5B2113"/>
    <w:rsid w:val="FF5F5CBC"/>
    <w:rsid w:val="FFAE1B5D"/>
    <w:rsid w:val="FFE749E7"/>
    <w:rsid w:val="FFEF295F"/>
    <w:rsid w:val="FFF18C1B"/>
    <w:rsid w:val="FFFCE0CC"/>
    <w:rsid w:val="FFFE3B8C"/>
    <w:rsid w:val="FFFFF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mArxnLqiu</cp:lastModifiedBy>
  <dcterms:modified xsi:type="dcterms:W3CDTF">2024-03-27T09:07:35Z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B88C77AB2042494A9B9A48BEF4A75822_13</vt:lpwstr>
  </property>
</Properties>
</file>