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ACFAA">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360" w:lineRule="auto"/>
        <w:ind w:right="0"/>
        <w:jc w:val="both"/>
        <w:textAlignment w:val="baseline"/>
        <w:rPr>
          <w:rFonts w:hint="eastAsia" w:ascii="黑体" w:hAnsi="黑体" w:eastAsia="黑体" w:cs="黑体"/>
          <w:spacing w:val="-11"/>
          <w:kern w:val="2"/>
          <w:sz w:val="30"/>
          <w:szCs w:val="30"/>
          <w:vertAlign w:val="baseline"/>
          <w:lang w:val="en-US" w:eastAsia="zh-CN"/>
        </w:rPr>
      </w:pPr>
      <w:r>
        <w:rPr>
          <w:rFonts w:hint="eastAsia" w:ascii="黑体" w:hAnsi="黑体" w:eastAsia="黑体" w:cs="黑体"/>
          <w:spacing w:val="-11"/>
          <w:kern w:val="2"/>
          <w:sz w:val="30"/>
          <w:szCs w:val="30"/>
          <w:vertAlign w:val="baseline"/>
          <w:lang w:val="en-US" w:eastAsia="zh-CN"/>
        </w:rPr>
        <w:t>附件3</w:t>
      </w:r>
    </w:p>
    <w:p w14:paraId="01B68BBF">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360" w:lineRule="auto"/>
        <w:ind w:right="0"/>
        <w:jc w:val="center"/>
        <w:textAlignment w:val="baseline"/>
        <w:rPr>
          <w:rFonts w:hint="default" w:asciiTheme="majorEastAsia" w:hAnsiTheme="majorEastAsia" w:eastAsiaTheme="majorEastAsia" w:cstheme="majorEastAsia"/>
          <w:b/>
          <w:bCs/>
          <w:spacing w:val="-11"/>
          <w:kern w:val="2"/>
          <w:sz w:val="32"/>
          <w:szCs w:val="32"/>
          <w:vertAlign w:val="baseline"/>
          <w:lang w:val="en-US" w:eastAsia="zh-CN"/>
        </w:rPr>
      </w:pPr>
      <w:r>
        <w:rPr>
          <w:rFonts w:hint="eastAsia" w:asciiTheme="majorEastAsia" w:hAnsiTheme="majorEastAsia" w:eastAsiaTheme="majorEastAsia" w:cstheme="majorEastAsia"/>
          <w:b/>
          <w:bCs/>
          <w:spacing w:val="-11"/>
          <w:kern w:val="2"/>
          <w:sz w:val="32"/>
          <w:szCs w:val="32"/>
          <w:vertAlign w:val="baseline"/>
          <w:lang w:val="en-US" w:eastAsia="zh-CN"/>
        </w:rPr>
        <w:t>项目实施案例</w:t>
      </w:r>
    </w:p>
    <w:p w14:paraId="3B6B64A5">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黑体" w:hAnsi="黑体" w:eastAsia="黑体" w:cs="黑体"/>
          <w:b w:val="0"/>
          <w:bCs w:val="0"/>
          <w:color w:val="000000"/>
          <w:kern w:val="0"/>
          <w:sz w:val="30"/>
          <w:szCs w:val="30"/>
          <w:highlight w:val="none"/>
          <w:lang w:val="en-US" w:eastAsia="zh-CN" w:bidi="ar"/>
        </w:rPr>
      </w:pPr>
      <w:r>
        <w:rPr>
          <w:rFonts w:hint="eastAsia" w:ascii="黑体" w:hAnsi="黑体" w:eastAsia="黑体" w:cs="黑体"/>
          <w:b w:val="0"/>
          <w:bCs w:val="0"/>
          <w:color w:val="000000"/>
          <w:kern w:val="0"/>
          <w:sz w:val="30"/>
          <w:szCs w:val="30"/>
          <w:highlight w:val="none"/>
          <w:lang w:val="en-US" w:eastAsia="zh-CN" w:bidi="ar"/>
        </w:rPr>
        <w:t>一、长三角-苏州全国首批试点</w:t>
      </w:r>
    </w:p>
    <w:p w14:paraId="3BC8FE51">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在2024年11月20日至21日这两天里，来自全国20多个省市、近40家不同企业机构院校的共62位学员齐聚苏州工业园区南岸新地，共同参加了“企业环境、</w:t>
      </w:r>
      <w:bookmarkStart w:id="0" w:name="_GoBack"/>
      <w:bookmarkEnd w:id="0"/>
      <w:r>
        <w:rPr>
          <w:rFonts w:hint="eastAsia" w:ascii="仿宋" w:hAnsi="仿宋" w:eastAsia="仿宋" w:cs="仿宋"/>
          <w:color w:val="000000"/>
          <w:kern w:val="0"/>
          <w:sz w:val="30"/>
          <w:szCs w:val="30"/>
          <w:highlight w:val="none"/>
          <w:lang w:val="en-US" w:eastAsia="zh-CN" w:bidi="ar"/>
        </w:rPr>
        <w:t>社会与治理（ESG）评价师”人员能力评价项目的首期培训班。本培训课程反馈报告汇总了学员对所该课程的整体体验和学习效果的反馈。根据调研结果，94%的学员对培训体验表示认可，其中有64%的学员表达出非常满意的态度，这表明课程内容设置和教学效果得到了学员的积极反馈。</w:t>
      </w:r>
    </w:p>
    <w:p w14:paraId="3C7E0BC0">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b/>
          <w:color w:val="000000"/>
          <w:sz w:val="30"/>
          <w:szCs w:val="30"/>
          <w:highlight w:val="none"/>
        </w:rPr>
        <w:drawing>
          <wp:inline distT="0" distB="0" distL="114300" distR="114300">
            <wp:extent cx="5252720" cy="3495675"/>
            <wp:effectExtent l="0" t="0" r="508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5"/>
                    <a:stretch>
                      <a:fillRect/>
                    </a:stretch>
                  </pic:blipFill>
                  <pic:spPr>
                    <a:xfrm>
                      <a:off x="0" y="0"/>
                      <a:ext cx="5252720" cy="3495675"/>
                    </a:xfrm>
                    <a:prstGeom prst="rect">
                      <a:avLst/>
                    </a:prstGeom>
                    <a:noFill/>
                    <a:ln>
                      <a:noFill/>
                    </a:ln>
                  </pic:spPr>
                </pic:pic>
              </a:graphicData>
            </a:graphic>
          </wp:inline>
        </w:drawing>
      </w:r>
    </w:p>
    <w:p w14:paraId="6DA05CF6">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黑体" w:hAnsi="黑体" w:eastAsia="黑体" w:cs="黑体"/>
          <w:b w:val="0"/>
          <w:bCs w:val="0"/>
          <w:color w:val="000000"/>
          <w:kern w:val="0"/>
          <w:sz w:val="30"/>
          <w:szCs w:val="30"/>
          <w:highlight w:val="none"/>
          <w:lang w:val="en-US" w:eastAsia="zh-CN" w:bidi="ar"/>
        </w:rPr>
      </w:pPr>
      <w:r>
        <w:rPr>
          <w:rFonts w:hint="eastAsia" w:ascii="黑体" w:hAnsi="黑体" w:eastAsia="黑体" w:cs="黑体"/>
          <w:b w:val="0"/>
          <w:bCs w:val="0"/>
          <w:color w:val="000000"/>
          <w:kern w:val="0"/>
          <w:sz w:val="30"/>
          <w:szCs w:val="30"/>
          <w:highlight w:val="none"/>
          <w:lang w:val="en-US" w:eastAsia="zh-CN" w:bidi="ar"/>
        </w:rPr>
        <w:t>二、北京市可持续领域高端会计人才培训班</w:t>
      </w:r>
    </w:p>
    <w:p w14:paraId="5933053E">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2025年3月21日至30日，为贯彻落实《北京促进环境社会治理（ESG）体系高质量发展实施方案》《企业可持续披露准则——基本准则（试行）》，加强可持续准则方向高水平人才培养与储备，组织开展北京市可持续领域高端会计人才培训班。本次培训纳入北京可持续信息披露及应用试点工作方案，首批试点企业呈现出国有与民营企业协同共进、行业分布多元化的显著特征，目前已汇聚30余家具有行业代表性的企业参与，并吸引来自会计审计、科技信息、建筑工程、金融投资、生物医药、物流运输及教育科研等领域的70余名专业人才加入。按照“先行先试、实践优先、专项训练、培用结合”的原则，贯彻落实全可持续领域重大改革试点任务，建立与实际需要相匹配的人才培养体系，为全可持续信息披露工作、鉴证工作、应用工作提供人才支撑。通过考核者将获得三重发展机遇：入选北京市高端会计人才储备库；享有高级职称评审绿色通道；获取中国认证认可协会（CCAA）、香港品质保证局（HKQAA）等权威资质认证，实现"一考多证"。</w:t>
      </w:r>
    </w:p>
    <w:p w14:paraId="199F65A6">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jc w:val="both"/>
        <w:textAlignment w:val="baseline"/>
        <w:rPr>
          <w:rFonts w:hint="eastAsia" w:ascii="仿宋" w:hAnsi="仿宋" w:eastAsia="仿宋" w:cs="仿宋"/>
          <w:color w:val="000000"/>
          <w:sz w:val="30"/>
          <w:szCs w:val="30"/>
          <w:highlight w:val="none"/>
          <w:vertAlign w:val="baseline"/>
          <w:lang w:val="en-US" w:eastAsia="zh-CN"/>
        </w:rPr>
      </w:pPr>
      <w:r>
        <w:rPr>
          <w:rFonts w:hint="eastAsia" w:ascii="仿宋" w:hAnsi="仿宋" w:eastAsia="仿宋" w:cs="仿宋"/>
          <w:color w:val="000000"/>
          <w:sz w:val="30"/>
          <w:szCs w:val="30"/>
          <w:highlight w:val="none"/>
          <w:vertAlign w:val="baseline"/>
          <w:lang w:val="en-US" w:eastAsia="zh-CN"/>
        </w:rPr>
        <w:drawing>
          <wp:inline distT="0" distB="0" distL="114300" distR="114300">
            <wp:extent cx="4768215" cy="2917825"/>
            <wp:effectExtent l="0" t="0" r="13335" b="15875"/>
            <wp:docPr id="24" name="图片 23" descr="北高快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北高快合影"/>
                    <pic:cNvPicPr>
                      <a:picLocks noChangeAspect="1"/>
                    </pic:cNvPicPr>
                  </pic:nvPicPr>
                  <pic:blipFill>
                    <a:blip r:embed="rId6"/>
                    <a:stretch>
                      <a:fillRect/>
                    </a:stretch>
                  </pic:blipFill>
                  <pic:spPr>
                    <a:xfrm>
                      <a:off x="0" y="0"/>
                      <a:ext cx="4768215" cy="2917825"/>
                    </a:xfrm>
                    <a:prstGeom prst="rect">
                      <a:avLst/>
                    </a:prstGeom>
                    <a:noFill/>
                    <a:ln>
                      <a:noFill/>
                    </a:ln>
                  </pic:spPr>
                </pic:pic>
              </a:graphicData>
            </a:graphic>
          </wp:inline>
        </w:drawing>
      </w:r>
    </w:p>
    <w:p w14:paraId="52E7A441">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jc w:val="both"/>
        <w:textAlignment w:val="baseline"/>
        <w:rPr>
          <w:rFonts w:hint="eastAsia" w:ascii="仿宋" w:hAnsi="仿宋" w:eastAsia="仿宋" w:cs="仿宋"/>
          <w:color w:val="000000"/>
          <w:sz w:val="30"/>
          <w:szCs w:val="30"/>
          <w:highlight w:val="none"/>
          <w:vertAlign w:val="baseline"/>
          <w:lang w:val="en-US" w:eastAsia="zh-CN"/>
        </w:rPr>
      </w:pPr>
      <w:r>
        <w:rPr>
          <w:rFonts w:hint="eastAsia" w:ascii="仿宋" w:hAnsi="仿宋" w:eastAsia="仿宋" w:cs="仿宋"/>
          <w:color w:val="000000"/>
          <w:sz w:val="30"/>
          <w:szCs w:val="30"/>
          <w:highlight w:val="none"/>
          <w:vertAlign w:val="baseline"/>
          <w:lang w:val="en-US" w:eastAsia="zh-CN"/>
        </w:rPr>
        <w:drawing>
          <wp:inline distT="0" distB="0" distL="114300" distR="114300">
            <wp:extent cx="4815840" cy="3267075"/>
            <wp:effectExtent l="0" t="0" r="3810" b="9525"/>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7"/>
                    <a:stretch>
                      <a:fillRect/>
                    </a:stretch>
                  </pic:blipFill>
                  <pic:spPr>
                    <a:xfrm>
                      <a:off x="0" y="0"/>
                      <a:ext cx="4815840" cy="3267075"/>
                    </a:xfrm>
                    <a:prstGeom prst="rect">
                      <a:avLst/>
                    </a:prstGeom>
                    <a:noFill/>
                    <a:ln>
                      <a:noFill/>
                    </a:ln>
                  </pic:spPr>
                </pic:pic>
              </a:graphicData>
            </a:graphic>
          </wp:inline>
        </w:drawing>
      </w:r>
    </w:p>
    <w:p w14:paraId="7D673F23">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黑体" w:hAnsi="黑体" w:eastAsia="黑体" w:cs="黑体"/>
          <w:b w:val="0"/>
          <w:bCs w:val="0"/>
          <w:color w:val="000000"/>
          <w:kern w:val="0"/>
          <w:sz w:val="30"/>
          <w:szCs w:val="30"/>
          <w:highlight w:val="none"/>
          <w:lang w:val="en-US" w:eastAsia="zh-CN" w:bidi="ar"/>
        </w:rPr>
      </w:pPr>
      <w:r>
        <w:rPr>
          <w:rFonts w:hint="eastAsia" w:ascii="黑体" w:hAnsi="黑体" w:eastAsia="黑体" w:cs="黑体"/>
          <w:b w:val="0"/>
          <w:bCs w:val="0"/>
          <w:color w:val="000000"/>
          <w:kern w:val="0"/>
          <w:sz w:val="30"/>
          <w:szCs w:val="30"/>
          <w:highlight w:val="none"/>
          <w:lang w:val="en-US" w:eastAsia="zh-CN" w:bidi="ar"/>
        </w:rPr>
        <w:t>三、大湾区-广州首期</w:t>
      </w:r>
    </w:p>
    <w:p w14:paraId="16EDBD2A">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2025年3月26日至27日，作为国家战略高地，粤港澳大湾区积极响应国家“双碳”目标与ESG体系建设号召，率先引入“企业ESG评价师”能力评价项目。中财碳融（北京）科技有限公司联合中国企业国有产权交易机构协会共同落地实施，依托行业顶尖师资、实战化课程体系及国际化视野，为湾区企业、金融机构、产权交易机构、咨询公司的90余名学员，围绕ESG核心理念、评价体系与实践应用展开深度研修。培训成果将成为企业选聘ESG人才的重要依据，为大湾区绿色发展注入新动能。学员覆盖全国多地，来自科技、金融、制造等领域的近70余家机构代表齐聚一堂，共探ESG前沿趋势与实践路径。</w:t>
      </w:r>
    </w:p>
    <w:p w14:paraId="30D5338A">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b/>
          <w:color w:val="000000"/>
          <w:sz w:val="30"/>
          <w:szCs w:val="30"/>
          <w:highlight w:val="none"/>
        </w:rPr>
        <w:drawing>
          <wp:inline distT="0" distB="0" distL="114300" distR="114300">
            <wp:extent cx="5274310" cy="2962910"/>
            <wp:effectExtent l="0" t="0" r="2540" b="8890"/>
            <wp:docPr id="23" name="图片 22" descr="大湾区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大湾区结业"/>
                    <pic:cNvPicPr>
                      <a:picLocks noChangeAspect="1"/>
                    </pic:cNvPicPr>
                  </pic:nvPicPr>
                  <pic:blipFill>
                    <a:blip r:embed="rId8"/>
                    <a:stretch>
                      <a:fillRect/>
                    </a:stretch>
                  </pic:blipFill>
                  <pic:spPr>
                    <a:xfrm>
                      <a:off x="0" y="0"/>
                      <a:ext cx="5274310" cy="2962910"/>
                    </a:xfrm>
                    <a:prstGeom prst="rect">
                      <a:avLst/>
                    </a:prstGeom>
                    <a:noFill/>
                    <a:ln>
                      <a:noFill/>
                    </a:ln>
                  </pic:spPr>
                </pic:pic>
              </a:graphicData>
            </a:graphic>
          </wp:inline>
        </w:drawing>
      </w:r>
    </w:p>
    <w:p w14:paraId="731F0E5F">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黑体" w:hAnsi="黑体" w:eastAsia="黑体" w:cs="黑体"/>
          <w:b w:val="0"/>
          <w:bCs w:val="0"/>
          <w:color w:val="000000"/>
          <w:kern w:val="0"/>
          <w:sz w:val="30"/>
          <w:szCs w:val="30"/>
          <w:highlight w:val="none"/>
          <w:lang w:val="en-US" w:eastAsia="zh-CN" w:bidi="ar"/>
        </w:rPr>
      </w:pPr>
      <w:r>
        <w:rPr>
          <w:rFonts w:hint="eastAsia" w:ascii="黑体" w:hAnsi="黑体" w:eastAsia="黑体" w:cs="黑体"/>
          <w:b w:val="0"/>
          <w:bCs w:val="0"/>
          <w:color w:val="000000"/>
          <w:kern w:val="0"/>
          <w:sz w:val="30"/>
          <w:szCs w:val="30"/>
          <w:highlight w:val="none"/>
          <w:lang w:val="en-US" w:eastAsia="zh-CN" w:bidi="ar"/>
        </w:rPr>
        <w:t>四、长三角-苏州第二期</w:t>
      </w:r>
    </w:p>
    <w:p w14:paraId="6D8A6F7A">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2025年5月17日至18日，苏州工业园区作为长三角一体化发展核心区与国家级绿色转型示范高地，持续践行国家“双碳”战略与ESG体系创新，落地第二期“企业ESG评价师”能力评价项目，通过产教融合新模式助力长三角可持续发展生态建设。期间，汇聚66名ESG先锋人才，覆盖50余家领军企业与创新机构，彰显区域ESG实践凝聚力。项目依托中央财经大学可持续准则研究中心、西交利物浦大学理学院等高校智库，联合苏州工业园区城市发展研究院、长三角要素交易中心、苏州科技企业股权服务有限公司及苏州工业园区可持续发展促进会，构建多方协同的ESG创新策源地。通过苏州工业园区国际化产业生态的实践探索，该项目进一步推动长三角ESG标准与全球可持续治理体系深度接轨，为区域高质量发展注入新动能。</w:t>
      </w:r>
    </w:p>
    <w:p w14:paraId="2B6DF6B3">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kern w:val="2"/>
          <w:sz w:val="30"/>
          <w:szCs w:val="30"/>
          <w:lang w:val="en-US" w:eastAsia="zh-CN" w:bidi="ar-SA"/>
        </w:rPr>
        <w:drawing>
          <wp:inline distT="0" distB="0" distL="114300" distR="114300">
            <wp:extent cx="5382895" cy="1807845"/>
            <wp:effectExtent l="0" t="0" r="8255" b="1905"/>
            <wp:docPr id="21" name="图片 20" descr="_DSC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_DSC8858"/>
                    <pic:cNvPicPr>
                      <a:picLocks noChangeAspect="1"/>
                    </pic:cNvPicPr>
                  </pic:nvPicPr>
                  <pic:blipFill>
                    <a:blip r:embed="rId9"/>
                    <a:stretch>
                      <a:fillRect/>
                    </a:stretch>
                  </pic:blipFill>
                  <pic:spPr>
                    <a:xfrm>
                      <a:off x="0" y="0"/>
                      <a:ext cx="5382895" cy="1807845"/>
                    </a:xfrm>
                    <a:prstGeom prst="rect">
                      <a:avLst/>
                    </a:prstGeom>
                    <a:noFill/>
                    <a:ln>
                      <a:noFill/>
                    </a:ln>
                  </pic:spPr>
                </pic:pic>
              </a:graphicData>
            </a:graphic>
          </wp:inline>
        </w:drawing>
      </w:r>
    </w:p>
    <w:p w14:paraId="77B8864D">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黑体" w:hAnsi="黑体" w:eastAsia="黑体" w:cs="黑体"/>
          <w:b w:val="0"/>
          <w:bCs w:val="0"/>
          <w:color w:val="000000"/>
          <w:kern w:val="0"/>
          <w:sz w:val="30"/>
          <w:szCs w:val="30"/>
          <w:highlight w:val="none"/>
          <w:lang w:val="en-US" w:eastAsia="zh-CN" w:bidi="ar"/>
        </w:rPr>
      </w:pPr>
      <w:r>
        <w:rPr>
          <w:rFonts w:hint="eastAsia" w:ascii="黑体" w:hAnsi="黑体" w:eastAsia="黑体" w:cs="黑体"/>
          <w:b w:val="0"/>
          <w:bCs w:val="0"/>
          <w:color w:val="000000"/>
          <w:kern w:val="0"/>
          <w:sz w:val="30"/>
          <w:szCs w:val="30"/>
          <w:highlight w:val="none"/>
          <w:lang w:val="en-US" w:eastAsia="zh-CN" w:bidi="ar"/>
        </w:rPr>
        <w:t>五、京津冀－北京首期</w:t>
      </w:r>
    </w:p>
    <w:p w14:paraId="57EFFA89">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firstLine="600" w:firstLineChars="200"/>
        <w:jc w:val="both"/>
        <w:textAlignment w:val="baseline"/>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2025年5月24-25日，由中财碳融（北京）科技有限公司与北京鉴衡认证中心有限公司联合主办的京津冀首期企业ESG评价师（初级）培训班在北京圆满落幕！作为京津冀地区ESG领域的首个专业培训项目，本次活动汇聚了来自企业、认证机构、咨询机构、律师事务所及个人职业追求者的40余名学员，共同开启ESG能力建设的崭新篇章。</w:t>
      </w:r>
    </w:p>
    <w:p w14:paraId="01A20246">
      <w:pPr>
        <w:keepNext w:val="0"/>
        <w:keepLines w:val="0"/>
        <w:pageBreakBefore w:val="0"/>
        <w:widowControl/>
        <w:numPr>
          <w:ilvl w:val="0"/>
          <w:numId w:val="0"/>
        </w:numPr>
        <w:suppressLineNumbers w:val="0"/>
        <w:kinsoku/>
        <w:wordWrap/>
        <w:overflowPunct w:val="0"/>
        <w:topLinePunct/>
        <w:autoSpaceDE w:val="0"/>
        <w:autoSpaceDN w:val="0"/>
        <w:bidi w:val="0"/>
        <w:adjustRightInd w:val="0"/>
        <w:snapToGrid w:val="0"/>
        <w:spacing w:before="0" w:beforeAutospacing="0" w:after="0" w:afterAutospacing="0" w:line="360" w:lineRule="auto"/>
        <w:ind w:leftChars="0" w:right="0" w:rightChars="0"/>
        <w:jc w:val="both"/>
        <w:textAlignment w:val="baseline"/>
        <w:rPr>
          <w:rFonts w:hint="default" w:ascii="仿宋" w:hAnsi="仿宋" w:cs="仿宋"/>
          <w:color w:val="000000"/>
          <w:kern w:val="0"/>
          <w:sz w:val="24"/>
          <w:szCs w:val="24"/>
          <w:highlight w:val="none"/>
          <w:lang w:val="en-US" w:eastAsia="zh-CN" w:bidi="ar"/>
        </w:rPr>
      </w:pPr>
      <w:r>
        <w:rPr>
          <w:rFonts w:hint="eastAsia" w:ascii="仿宋" w:hAnsi="仿宋" w:eastAsia="仿宋" w:cs="仿宋"/>
          <w:sz w:val="30"/>
          <w:szCs w:val="30"/>
        </w:rPr>
        <w:drawing>
          <wp:inline distT="0" distB="0" distL="114300" distR="114300">
            <wp:extent cx="5263515" cy="3509010"/>
            <wp:effectExtent l="0" t="0" r="13335" b="15240"/>
            <wp:docPr id="22" name="图片 21" descr="334A1636__236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334A1636__23614193"/>
                    <pic:cNvPicPr>
                      <a:picLocks noChangeAspect="1"/>
                    </pic:cNvPicPr>
                  </pic:nvPicPr>
                  <pic:blipFill>
                    <a:blip r:embed="rId10"/>
                    <a:stretch>
                      <a:fillRect/>
                    </a:stretch>
                  </pic:blipFill>
                  <pic:spPr>
                    <a:xfrm>
                      <a:off x="0" y="0"/>
                      <a:ext cx="5263515" cy="350901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A1A17D6-45C9-4F38-8D4E-F891A5989F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B9DC75EF-5977-47B4-BB72-827849C4E6B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7BD5A">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70307"/>
    <w:rsid w:val="00FA12F9"/>
    <w:rsid w:val="079363CC"/>
    <w:rsid w:val="08D92C7A"/>
    <w:rsid w:val="08DC38C0"/>
    <w:rsid w:val="0A6B2A34"/>
    <w:rsid w:val="0C3045C1"/>
    <w:rsid w:val="119B126F"/>
    <w:rsid w:val="12A9252A"/>
    <w:rsid w:val="14204272"/>
    <w:rsid w:val="16584558"/>
    <w:rsid w:val="1FD041BD"/>
    <w:rsid w:val="213E08FD"/>
    <w:rsid w:val="221C3BC3"/>
    <w:rsid w:val="24305A06"/>
    <w:rsid w:val="249064A3"/>
    <w:rsid w:val="285029DF"/>
    <w:rsid w:val="2D64728A"/>
    <w:rsid w:val="30EE39BD"/>
    <w:rsid w:val="32216AEE"/>
    <w:rsid w:val="32932A43"/>
    <w:rsid w:val="35AC5D1D"/>
    <w:rsid w:val="36A349B6"/>
    <w:rsid w:val="381B10DF"/>
    <w:rsid w:val="3E485481"/>
    <w:rsid w:val="487165D7"/>
    <w:rsid w:val="49FD0AE9"/>
    <w:rsid w:val="4A346139"/>
    <w:rsid w:val="4DB0255D"/>
    <w:rsid w:val="50596D96"/>
    <w:rsid w:val="54085574"/>
    <w:rsid w:val="56A20F30"/>
    <w:rsid w:val="5B6C2D6A"/>
    <w:rsid w:val="5B7E67CF"/>
    <w:rsid w:val="5EDE751F"/>
    <w:rsid w:val="60A24FBB"/>
    <w:rsid w:val="62742739"/>
    <w:rsid w:val="64317ACE"/>
    <w:rsid w:val="66E4557B"/>
    <w:rsid w:val="683D50E7"/>
    <w:rsid w:val="68E67B57"/>
    <w:rsid w:val="6A5F4D8C"/>
    <w:rsid w:val="6C785500"/>
    <w:rsid w:val="6CB947E3"/>
    <w:rsid w:val="70612678"/>
    <w:rsid w:val="71325174"/>
    <w:rsid w:val="793E0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rPr>
  </w:style>
  <w:style w:type="paragraph" w:styleId="3">
    <w:name w:val="heading 2"/>
    <w:basedOn w:val="1"/>
    <w:next w:val="1"/>
    <w:unhideWhenUsed/>
    <w:qFormat/>
    <w:uiPriority w:val="0"/>
    <w:pPr>
      <w:keepNext/>
      <w:keepLines/>
      <w:spacing w:before="260" w:after="260" w:line="240" w:lineRule="auto"/>
      <w:ind w:firstLine="0" w:firstLineChars="0"/>
      <w:outlineLvl w:val="1"/>
    </w:pPr>
    <w:rPr>
      <w:rFonts w:ascii="Arial" w:hAnsi="Arial"/>
      <w:b/>
    </w:rPr>
  </w:style>
  <w:style w:type="character" w:default="1" w:styleId="10">
    <w:name w:val="Default Paragraph Font"/>
    <w:qFormat/>
    <w:uiPriority w:val="1"/>
  </w:style>
  <w:style w:type="table" w:default="1" w:styleId="8">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alloon Text"/>
    <w:basedOn w:val="1"/>
    <w:link w:val="13"/>
    <w:qFormat/>
    <w:uiPriority w:val="99"/>
    <w:rPr>
      <w:sz w:val="18"/>
      <w:szCs w:val="18"/>
    </w:r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rFonts w:cs="Times New Roman"/>
      <w:kern w:val="0"/>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99"/>
    <w:rPr>
      <w:color w:val="0000FF"/>
      <w:u w:val="single"/>
    </w:rPr>
  </w:style>
  <w:style w:type="character" w:customStyle="1" w:styleId="13">
    <w:name w:val="批注框文本 Char"/>
    <w:basedOn w:val="10"/>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5</Pages>
  <Words>2709</Words>
  <Characters>2947</Characters>
  <Paragraphs>56</Paragraphs>
  <TotalTime>4</TotalTime>
  <ScaleCrop>false</ScaleCrop>
  <LinksUpToDate>false</LinksUpToDate>
  <CharactersWithSpaces>3035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2022-07-28T06:38:00Z</dcterms:created>
  <dc:creator>谢泽琼</dc:creator>
  <cp:lastModifiedBy>w¿ÑcHester</cp:lastModifiedBy>
  <dcterms:modified xsi:type="dcterms:W3CDTF">2025-06-03T03:31:02Z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A591819D9FAF44FDBF680B8BA2AD12E1_13</vt:lpwstr>
  </property>
  <property fmtid="{D5CDD505-2E9C-101B-9397-08002B2CF9AE}" pid="4" name="KSOTemplateDocerSaveRecord">
    <vt:lpwstr>eyJoZGlkIjoiMGMxYWI3ZmExNzBiZjU3NTQwMjUxNzBmNzg4NWFlM2UiLCJ1c2VySWQiOiIyODA2NTgwOTUifQ==</vt:lpwstr>
  </property>
</Properties>
</file>