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162349">
      <w:pPr>
        <w:keepNext w:val="0"/>
        <w:keepLines w:val="0"/>
        <w:pageBreakBefore w:val="0"/>
        <w:widowControl w:val="0"/>
        <w:suppressLineNumbers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right="0"/>
        <w:jc w:val="both"/>
        <w:textAlignment w:val="baseline"/>
        <w:rPr>
          <w:rFonts w:hint="eastAsia" w:ascii="黑体" w:hAnsi="黑体" w:eastAsia="黑体" w:cs="黑体"/>
          <w:spacing w:val="-11"/>
          <w:kern w:val="2"/>
          <w:sz w:val="30"/>
          <w:szCs w:val="30"/>
          <w:vertAlign w:val="baseline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spacing w:val="-11"/>
          <w:kern w:val="2"/>
          <w:sz w:val="30"/>
          <w:szCs w:val="30"/>
          <w:vertAlign w:val="baseline"/>
          <w:lang w:val="en-US" w:eastAsia="zh-CN"/>
        </w:rPr>
        <w:t>附件1</w:t>
      </w:r>
    </w:p>
    <w:p w14:paraId="09FA2043">
      <w:pPr>
        <w:keepNext w:val="0"/>
        <w:keepLines w:val="0"/>
        <w:pageBreakBefore w:val="0"/>
        <w:widowControl w:val="0"/>
        <w:suppressLineNumbers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right="0"/>
        <w:jc w:val="center"/>
        <w:textAlignment w:val="baseline"/>
        <w:rPr>
          <w:rFonts w:hint="eastAsia" w:asciiTheme="majorEastAsia" w:hAnsiTheme="majorEastAsia" w:eastAsiaTheme="majorEastAsia" w:cstheme="majorEastAsia"/>
          <w:b/>
          <w:bCs/>
          <w:spacing w:val="-11"/>
          <w:kern w:val="2"/>
          <w:sz w:val="32"/>
          <w:szCs w:val="32"/>
          <w:vertAlign w:val="baseline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pacing w:val="-11"/>
          <w:kern w:val="2"/>
          <w:sz w:val="32"/>
          <w:szCs w:val="32"/>
          <w:vertAlign w:val="baseline"/>
          <w:lang w:val="en-US" w:eastAsia="zh-CN"/>
        </w:rPr>
        <w:t>第三期“企业ESG评价师”（初级）班暨『香港品保局“环境、社会与治理评价师』“一训双证”试点班报名回执表</w:t>
      </w:r>
    </w:p>
    <w:p w14:paraId="76FB557B">
      <w:pPr>
        <w:keepNext w:val="0"/>
        <w:keepLines w:val="0"/>
        <w:pageBreakBefore w:val="0"/>
        <w:widowControl w:val="0"/>
        <w:suppressLineNumbers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right="0"/>
        <w:jc w:val="center"/>
        <w:textAlignment w:val="baseline"/>
        <w:rPr>
          <w:rFonts w:hint="default" w:asciiTheme="majorEastAsia" w:hAnsiTheme="majorEastAsia" w:eastAsiaTheme="majorEastAsia" w:cstheme="majorEastAsia"/>
          <w:b/>
          <w:bCs/>
          <w:spacing w:val="-11"/>
          <w:kern w:val="2"/>
          <w:sz w:val="32"/>
          <w:szCs w:val="32"/>
          <w:vertAlign w:val="baseline"/>
          <w:lang w:val="en-US" w:eastAsia="zh-CN"/>
        </w:rPr>
      </w:pPr>
    </w:p>
    <w:tbl>
      <w:tblPr>
        <w:tblStyle w:val="5"/>
        <w:tblW w:w="975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39"/>
        <w:gridCol w:w="2475"/>
        <w:gridCol w:w="855"/>
        <w:gridCol w:w="1140"/>
        <w:gridCol w:w="1050"/>
        <w:gridCol w:w="2797"/>
      </w:tblGrid>
      <w:tr w14:paraId="4504DE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87" w:hRule="atLeast"/>
          <w:jc w:val="center"/>
        </w:trPr>
        <w:tc>
          <w:tcPr>
            <w:tcW w:w="1439" w:type="dxa"/>
            <w:noWrap w:val="0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7C0DF801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default" w:ascii="仿宋" w:hAnsi="仿宋" w:eastAsia="仿宋" w:cs="宋体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sz w:val="28"/>
                <w:szCs w:val="28"/>
              </w:rPr>
              <w:t>*姓名</w:t>
            </w:r>
          </w:p>
        </w:tc>
        <w:tc>
          <w:tcPr>
            <w:tcW w:w="2475" w:type="dxa"/>
            <w:noWrap w:val="0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09422FF1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" w:hAnsi="仿宋" w:eastAsia="仿宋" w:cs="宋体"/>
                <w:sz w:val="28"/>
                <w:szCs w:val="28"/>
              </w:rPr>
            </w:pPr>
          </w:p>
        </w:tc>
        <w:tc>
          <w:tcPr>
            <w:tcW w:w="855" w:type="dxa"/>
            <w:noWrap w:val="0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0CD4DC14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" w:hAnsi="仿宋" w:eastAsia="仿宋" w:cs="宋体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sz w:val="28"/>
                <w:szCs w:val="28"/>
              </w:rPr>
              <w:t>*性别</w:t>
            </w:r>
          </w:p>
        </w:tc>
        <w:tc>
          <w:tcPr>
            <w:tcW w:w="1140" w:type="dxa"/>
            <w:noWrap w:val="0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4EB8844B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" w:hAnsi="仿宋" w:eastAsia="仿宋" w:cs="宋体"/>
                <w:sz w:val="28"/>
                <w:szCs w:val="28"/>
              </w:rPr>
            </w:pPr>
          </w:p>
        </w:tc>
        <w:tc>
          <w:tcPr>
            <w:tcW w:w="1050" w:type="dxa"/>
            <w:noWrap w:val="0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37A30BA8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" w:hAnsi="仿宋" w:eastAsia="仿宋" w:cs="宋体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sz w:val="28"/>
                <w:szCs w:val="28"/>
              </w:rPr>
              <w:t>*职位</w:t>
            </w:r>
          </w:p>
        </w:tc>
        <w:tc>
          <w:tcPr>
            <w:tcW w:w="2797" w:type="dxa"/>
            <w:noWrap w:val="0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7E84BBB8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" w:hAnsi="仿宋" w:eastAsia="仿宋" w:cs="宋体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sz w:val="28"/>
                <w:szCs w:val="28"/>
              </w:rPr>
              <w:t xml:space="preserve"> </w:t>
            </w:r>
          </w:p>
        </w:tc>
      </w:tr>
      <w:tr w14:paraId="5CEB66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92" w:hRule="atLeast"/>
          <w:jc w:val="center"/>
        </w:trPr>
        <w:tc>
          <w:tcPr>
            <w:tcW w:w="1439" w:type="dxa"/>
            <w:noWrap w:val="0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77EAD9D0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" w:hAnsi="仿宋" w:eastAsia="仿宋" w:cs="宋体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sz w:val="28"/>
                <w:szCs w:val="28"/>
              </w:rPr>
              <w:t>*身份证号</w:t>
            </w:r>
          </w:p>
        </w:tc>
        <w:tc>
          <w:tcPr>
            <w:tcW w:w="8317" w:type="dxa"/>
            <w:gridSpan w:val="5"/>
            <w:noWrap w:val="0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2CF83739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default" w:ascii="仿宋" w:hAnsi="仿宋" w:eastAsia="仿宋" w:cs="宋体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sz w:val="28"/>
                <w:szCs w:val="28"/>
              </w:rPr>
              <w:t xml:space="preserve"> </w:t>
            </w:r>
          </w:p>
        </w:tc>
      </w:tr>
      <w:tr w14:paraId="4F5B58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52" w:hRule="atLeast"/>
          <w:jc w:val="center"/>
        </w:trPr>
        <w:tc>
          <w:tcPr>
            <w:tcW w:w="1439" w:type="dxa"/>
            <w:noWrap w:val="0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616E240E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eastAsia" w:ascii="仿宋" w:hAnsi="仿宋" w:eastAsia="仿宋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 w:cs="宋体"/>
                <w:sz w:val="28"/>
                <w:szCs w:val="28"/>
                <w:lang w:val="en-US" w:eastAsia="zh-CN"/>
              </w:rPr>
              <w:t>毕业院校</w:t>
            </w:r>
          </w:p>
        </w:tc>
        <w:tc>
          <w:tcPr>
            <w:tcW w:w="2475" w:type="dxa"/>
            <w:noWrap w:val="0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5B93DF1A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/>
              <w:jc w:val="both"/>
              <w:rPr>
                <w:rFonts w:hint="eastAsia" w:ascii="仿宋" w:hAnsi="仿宋" w:eastAsia="仿宋" w:cs="宋体"/>
                <w:sz w:val="28"/>
                <w:szCs w:val="28"/>
                <w:lang w:val="en-US" w:eastAsia="zh-CN"/>
              </w:rPr>
            </w:pPr>
          </w:p>
        </w:tc>
        <w:tc>
          <w:tcPr>
            <w:tcW w:w="855" w:type="dxa"/>
            <w:noWrap w:val="0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6A503787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eastAsia" w:ascii="仿宋" w:hAnsi="仿宋" w:eastAsia="仿宋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 w:cs="宋体"/>
                <w:sz w:val="28"/>
                <w:szCs w:val="28"/>
                <w:lang w:val="en-US" w:eastAsia="zh-CN"/>
              </w:rPr>
              <w:t>学历</w:t>
            </w:r>
          </w:p>
        </w:tc>
        <w:tc>
          <w:tcPr>
            <w:tcW w:w="1140" w:type="dxa"/>
            <w:noWrap w:val="0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1EE02E1C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eastAsia" w:ascii="仿宋" w:hAnsi="仿宋" w:eastAsia="仿宋" w:cs="宋体"/>
                <w:sz w:val="28"/>
                <w:szCs w:val="28"/>
                <w:lang w:val="en-US" w:eastAsia="zh-CN"/>
              </w:rPr>
            </w:pPr>
          </w:p>
        </w:tc>
        <w:tc>
          <w:tcPr>
            <w:tcW w:w="1050" w:type="dxa"/>
            <w:noWrap w:val="0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5E308711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eastAsia" w:ascii="仿宋" w:hAnsi="仿宋" w:eastAsia="仿宋" w:cs="宋体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宋体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 w:cs="宋体"/>
                <w:sz w:val="28"/>
                <w:szCs w:val="28"/>
                <w:lang w:val="en-US" w:eastAsia="zh-CN"/>
              </w:rPr>
              <w:t>专业</w:t>
            </w:r>
          </w:p>
        </w:tc>
        <w:tc>
          <w:tcPr>
            <w:tcW w:w="2797" w:type="dxa"/>
            <w:noWrap w:val="0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3D203D20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default" w:ascii="仿宋" w:hAnsi="仿宋" w:eastAsia="仿宋" w:cs="宋体"/>
                <w:sz w:val="28"/>
                <w:szCs w:val="28"/>
              </w:rPr>
            </w:pPr>
          </w:p>
        </w:tc>
      </w:tr>
      <w:tr w14:paraId="2658D1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  <w:jc w:val="center"/>
        </w:trPr>
        <w:tc>
          <w:tcPr>
            <w:tcW w:w="1439" w:type="dxa"/>
            <w:noWrap w:val="0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00C5FE6C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" w:hAnsi="仿宋" w:eastAsia="仿宋" w:cs="宋体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sz w:val="28"/>
                <w:szCs w:val="28"/>
              </w:rPr>
              <w:t>*工作单位</w:t>
            </w:r>
          </w:p>
        </w:tc>
        <w:tc>
          <w:tcPr>
            <w:tcW w:w="8317" w:type="dxa"/>
            <w:gridSpan w:val="5"/>
            <w:noWrap w:val="0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1DEBB89C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" w:hAnsi="仿宋" w:eastAsia="仿宋" w:cs="宋体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sz w:val="28"/>
                <w:szCs w:val="28"/>
              </w:rPr>
              <w:t xml:space="preserve"> </w:t>
            </w:r>
          </w:p>
        </w:tc>
      </w:tr>
      <w:tr w14:paraId="25947D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0" w:hRule="atLeast"/>
          <w:jc w:val="center"/>
        </w:trPr>
        <w:tc>
          <w:tcPr>
            <w:tcW w:w="1439" w:type="dxa"/>
            <w:noWrap w:val="0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63D607C7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" w:hAnsi="仿宋" w:eastAsia="仿宋" w:cs="宋体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 w:cs="宋体"/>
                <w:sz w:val="28"/>
                <w:szCs w:val="28"/>
                <w:lang w:val="en-US" w:eastAsia="zh-CN"/>
              </w:rPr>
              <w:t>单位</w:t>
            </w:r>
            <w:r>
              <w:rPr>
                <w:rFonts w:hint="eastAsia" w:ascii="仿宋" w:hAnsi="仿宋" w:eastAsia="仿宋" w:cs="宋体"/>
                <w:sz w:val="28"/>
                <w:szCs w:val="28"/>
              </w:rPr>
              <w:t>地址</w:t>
            </w:r>
          </w:p>
        </w:tc>
        <w:tc>
          <w:tcPr>
            <w:tcW w:w="4470" w:type="dxa"/>
            <w:gridSpan w:val="3"/>
            <w:noWrap w:val="0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0DB9735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40" w:lineRule="exact"/>
              <w:ind w:left="0" w:right="0"/>
              <w:jc w:val="center"/>
              <w:textAlignment w:val="auto"/>
              <w:outlineLvl w:val="9"/>
              <w:rPr>
                <w:rFonts w:hint="default" w:ascii="仿宋" w:hAnsi="仿宋" w:eastAsia="仿宋" w:cs="宋体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sz w:val="28"/>
                <w:szCs w:val="28"/>
              </w:rPr>
              <w:t xml:space="preserve"> </w:t>
            </w:r>
          </w:p>
        </w:tc>
        <w:tc>
          <w:tcPr>
            <w:tcW w:w="1050" w:type="dxa"/>
            <w:noWrap w:val="0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3A9B23D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40" w:lineRule="exact"/>
              <w:ind w:left="0" w:right="0"/>
              <w:jc w:val="center"/>
              <w:textAlignment w:val="auto"/>
              <w:outlineLvl w:val="9"/>
              <w:rPr>
                <w:rFonts w:hint="eastAsia" w:ascii="仿宋" w:hAnsi="仿宋" w:eastAsia="仿宋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 w:cs="宋体"/>
                <w:sz w:val="28"/>
                <w:szCs w:val="28"/>
                <w:lang w:val="en-US" w:eastAsia="zh-CN"/>
              </w:rPr>
              <w:t>邮箱</w:t>
            </w:r>
          </w:p>
        </w:tc>
        <w:tc>
          <w:tcPr>
            <w:tcW w:w="2797" w:type="dxa"/>
            <w:noWrap w:val="0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0094FD1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40" w:lineRule="exact"/>
              <w:ind w:left="0" w:right="0"/>
              <w:jc w:val="center"/>
              <w:textAlignment w:val="auto"/>
              <w:outlineLvl w:val="9"/>
              <w:rPr>
                <w:rFonts w:hint="eastAsia" w:ascii="仿宋" w:hAnsi="仿宋" w:eastAsia="仿宋" w:cs="宋体"/>
                <w:sz w:val="28"/>
                <w:szCs w:val="28"/>
              </w:rPr>
            </w:pPr>
          </w:p>
        </w:tc>
      </w:tr>
      <w:tr w14:paraId="55AEC5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12" w:hRule="atLeast"/>
          <w:jc w:val="center"/>
        </w:trPr>
        <w:tc>
          <w:tcPr>
            <w:tcW w:w="1439" w:type="dxa"/>
            <w:noWrap w:val="0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4F6B650F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default" w:ascii="仿宋" w:hAnsi="仿宋" w:eastAsia="仿宋" w:cs="宋体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sz w:val="28"/>
                <w:szCs w:val="28"/>
              </w:rPr>
              <w:t xml:space="preserve">  *手 机</w:t>
            </w:r>
          </w:p>
        </w:tc>
        <w:tc>
          <w:tcPr>
            <w:tcW w:w="4470" w:type="dxa"/>
            <w:gridSpan w:val="3"/>
            <w:noWrap w:val="0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5F0EAFD7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" w:hAnsi="仿宋" w:eastAsia="仿宋" w:cs="宋体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sz w:val="28"/>
                <w:szCs w:val="28"/>
              </w:rPr>
              <w:t xml:space="preserve"> </w:t>
            </w:r>
          </w:p>
        </w:tc>
        <w:tc>
          <w:tcPr>
            <w:tcW w:w="1050" w:type="dxa"/>
            <w:noWrap w:val="0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645FCF08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" w:hAnsi="仿宋" w:eastAsia="仿宋" w:cs="宋体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 w:cs="宋体"/>
                <w:sz w:val="28"/>
                <w:szCs w:val="28"/>
                <w:lang w:val="en-US" w:eastAsia="zh-CN"/>
              </w:rPr>
              <w:t>微信号</w:t>
            </w:r>
            <w:r>
              <w:rPr>
                <w:rFonts w:hint="eastAsia" w:ascii="仿宋" w:hAnsi="仿宋" w:eastAsia="仿宋" w:cs="宋体"/>
                <w:sz w:val="28"/>
                <w:szCs w:val="28"/>
              </w:rPr>
              <w:t xml:space="preserve"> </w:t>
            </w:r>
          </w:p>
        </w:tc>
        <w:tc>
          <w:tcPr>
            <w:tcW w:w="2797" w:type="dxa"/>
            <w:noWrap w:val="0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50A47714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" w:hAnsi="仿宋" w:eastAsia="仿宋" w:cs="宋体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sz w:val="28"/>
                <w:szCs w:val="28"/>
              </w:rPr>
              <w:t xml:space="preserve"> 　</w:t>
            </w:r>
          </w:p>
        </w:tc>
      </w:tr>
      <w:tr w14:paraId="64E185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998" w:hRule="atLeast"/>
          <w:jc w:val="center"/>
        </w:trPr>
        <w:tc>
          <w:tcPr>
            <w:tcW w:w="1439" w:type="dxa"/>
            <w:noWrap w:val="0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2EC1AB66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从事行业</w:t>
            </w:r>
          </w:p>
        </w:tc>
        <w:tc>
          <w:tcPr>
            <w:tcW w:w="8317" w:type="dxa"/>
            <w:gridSpan w:val="5"/>
            <w:noWrap w:val="0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21C938AB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sz w:val="28"/>
                <w:szCs w:val="28"/>
              </w:rPr>
              <w:t>□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 xml:space="preserve">制造业  </w:t>
            </w:r>
            <w:r>
              <w:rPr>
                <w:rFonts w:hint="eastAsia" w:ascii="仿宋" w:hAnsi="仿宋" w:eastAsia="仿宋" w:cs="宋体"/>
                <w:sz w:val="28"/>
                <w:szCs w:val="28"/>
              </w:rPr>
              <w:t>□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 xml:space="preserve">建筑业  </w:t>
            </w:r>
            <w:r>
              <w:rPr>
                <w:rFonts w:hint="eastAsia" w:ascii="仿宋" w:hAnsi="仿宋" w:eastAsia="仿宋" w:cs="宋体"/>
                <w:sz w:val="28"/>
                <w:szCs w:val="28"/>
              </w:rPr>
              <w:t>□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 xml:space="preserve">物流交通  </w:t>
            </w:r>
            <w:r>
              <w:rPr>
                <w:rFonts w:hint="eastAsia" w:ascii="仿宋" w:hAnsi="仿宋" w:eastAsia="仿宋" w:cs="宋体"/>
                <w:sz w:val="28"/>
                <w:szCs w:val="28"/>
              </w:rPr>
              <w:t>□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 xml:space="preserve">教育/培训  </w:t>
            </w:r>
            <w:r>
              <w:rPr>
                <w:rFonts w:hint="eastAsia" w:ascii="仿宋" w:hAnsi="仿宋" w:eastAsia="仿宋" w:cs="宋体"/>
                <w:sz w:val="28"/>
                <w:szCs w:val="28"/>
              </w:rPr>
              <w:t>□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 xml:space="preserve">互联网  </w:t>
            </w:r>
          </w:p>
          <w:p w14:paraId="51866F19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sz w:val="28"/>
                <w:szCs w:val="28"/>
                <w:lang w:eastAsia="zh-CN"/>
              </w:rPr>
              <w:t>□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 xml:space="preserve">计算机/软件  </w:t>
            </w:r>
            <w:r>
              <w:rPr>
                <w:rFonts w:hint="eastAsia" w:ascii="仿宋" w:hAnsi="仿宋" w:eastAsia="仿宋" w:cs="宋体"/>
                <w:sz w:val="28"/>
                <w:szCs w:val="28"/>
              </w:rPr>
              <w:t>□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 xml:space="preserve">批发和零售  </w:t>
            </w:r>
            <w:r>
              <w:rPr>
                <w:rFonts w:hint="eastAsia" w:ascii="仿宋" w:hAnsi="仿宋" w:eastAsia="仿宋" w:cs="宋体"/>
                <w:sz w:val="28"/>
                <w:szCs w:val="28"/>
              </w:rPr>
              <w:t>□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 xml:space="preserve">住宿餐饮业    </w:t>
            </w:r>
            <w:r>
              <w:rPr>
                <w:rFonts w:hint="eastAsia" w:ascii="仿宋" w:hAnsi="仿宋" w:eastAsia="仿宋" w:cs="宋体"/>
                <w:sz w:val="28"/>
                <w:szCs w:val="28"/>
              </w:rPr>
              <w:t>□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 xml:space="preserve">金融业  </w:t>
            </w:r>
          </w:p>
          <w:p w14:paraId="77FF1125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sz w:val="28"/>
                <w:szCs w:val="28"/>
              </w:rPr>
              <w:t>□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 xml:space="preserve">房地产业  </w:t>
            </w:r>
            <w:r>
              <w:rPr>
                <w:rFonts w:hint="eastAsia" w:ascii="仿宋" w:hAnsi="仿宋" w:eastAsia="仿宋" w:cs="宋体"/>
                <w:sz w:val="28"/>
                <w:szCs w:val="28"/>
              </w:rPr>
              <w:t>□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 xml:space="preserve">出租/租赁  </w:t>
            </w:r>
            <w:r>
              <w:rPr>
                <w:rFonts w:hint="eastAsia" w:ascii="仿宋" w:hAnsi="仿宋" w:eastAsia="仿宋" w:cs="宋体"/>
                <w:sz w:val="28"/>
                <w:szCs w:val="28"/>
              </w:rPr>
              <w:t>□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 xml:space="preserve">专业服务（如法律/咨询服务） </w:t>
            </w:r>
          </w:p>
          <w:p w14:paraId="2721B89A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sz w:val="28"/>
                <w:szCs w:val="28"/>
              </w:rPr>
              <w:t>□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 xml:space="preserve">科学研究  </w:t>
            </w:r>
            <w:r>
              <w:rPr>
                <w:rFonts w:hint="eastAsia" w:ascii="仿宋" w:hAnsi="仿宋" w:eastAsia="仿宋" w:cs="宋体"/>
                <w:sz w:val="28"/>
                <w:szCs w:val="28"/>
              </w:rPr>
              <w:t>□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 xml:space="preserve">生活服务（如家政/美发类服务）  </w:t>
            </w:r>
            <w:r>
              <w:rPr>
                <w:rFonts w:hint="eastAsia" w:ascii="仿宋" w:hAnsi="仿宋" w:eastAsia="仿宋" w:cs="宋体"/>
                <w:sz w:val="28"/>
                <w:szCs w:val="28"/>
              </w:rPr>
              <w:t>□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 xml:space="preserve">文化娱乐 </w:t>
            </w:r>
          </w:p>
          <w:p w14:paraId="2C8B4FEB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sz w:val="28"/>
                <w:szCs w:val="28"/>
              </w:rPr>
              <w:t>□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 xml:space="preserve">医疗卫生/社会保障   </w:t>
            </w:r>
            <w:r>
              <w:rPr>
                <w:rFonts w:hint="eastAsia" w:ascii="仿宋" w:hAnsi="仿宋" w:eastAsia="仿宋" w:cs="宋体"/>
                <w:sz w:val="28"/>
                <w:szCs w:val="28"/>
              </w:rPr>
              <w:t>□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 xml:space="preserve">政府事业单位  </w:t>
            </w:r>
            <w:r>
              <w:rPr>
                <w:rFonts w:hint="eastAsia" w:ascii="仿宋" w:hAnsi="仿宋" w:eastAsia="仿宋" w:cs="宋体"/>
                <w:sz w:val="28"/>
                <w:szCs w:val="28"/>
              </w:rPr>
              <w:t>□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 xml:space="preserve">农、林、牧、渔业 </w:t>
            </w:r>
          </w:p>
          <w:p w14:paraId="04B28551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sz w:val="28"/>
                <w:szCs w:val="28"/>
              </w:rPr>
              <w:t>□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 xml:space="preserve">水利环境公共设施管理  </w:t>
            </w:r>
            <w:r>
              <w:rPr>
                <w:rFonts w:hint="eastAsia" w:ascii="仿宋" w:hAnsi="仿宋" w:eastAsia="仿宋" w:cs="宋体"/>
                <w:sz w:val="28"/>
                <w:szCs w:val="28"/>
              </w:rPr>
              <w:t>□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 xml:space="preserve">电力燃气  </w:t>
            </w:r>
            <w:r>
              <w:rPr>
                <w:rFonts w:hint="eastAsia" w:ascii="仿宋" w:hAnsi="仿宋" w:eastAsia="仿宋" w:cs="宋体"/>
                <w:sz w:val="28"/>
                <w:szCs w:val="28"/>
                <w:lang w:eastAsia="zh-CN"/>
              </w:rPr>
              <w:t>□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 xml:space="preserve">采矿业  </w:t>
            </w:r>
            <w:r>
              <w:rPr>
                <w:rFonts w:hint="eastAsia" w:ascii="仿宋" w:hAnsi="仿宋" w:eastAsia="仿宋" w:cs="宋体"/>
                <w:sz w:val="28"/>
                <w:szCs w:val="28"/>
              </w:rPr>
              <w:t>□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 xml:space="preserve">国际组织 </w:t>
            </w:r>
          </w:p>
          <w:p w14:paraId="40C5AB42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sz w:val="28"/>
                <w:szCs w:val="28"/>
              </w:rPr>
              <w:t>□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其他</w:t>
            </w:r>
          </w:p>
        </w:tc>
      </w:tr>
      <w:tr w14:paraId="4F8653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412" w:hRule="atLeast"/>
          <w:jc w:val="center"/>
        </w:trPr>
        <w:tc>
          <w:tcPr>
            <w:tcW w:w="1439" w:type="dxa"/>
            <w:noWrap w:val="0"/>
            <w:vAlign w:val="center"/>
          </w:tcPr>
          <w:p w14:paraId="20608CED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eastAsia" w:ascii="仿宋" w:hAnsi="仿宋" w:eastAsia="仿宋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sz w:val="28"/>
                <w:szCs w:val="28"/>
                <w:lang w:val="en-US" w:eastAsia="zh-CN"/>
              </w:rPr>
              <w:t>指定</w:t>
            </w:r>
          </w:p>
          <w:p w14:paraId="51C2363E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default" w:ascii="仿宋" w:hAnsi="仿宋" w:eastAsia="仿宋" w:cs="宋体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sz w:val="28"/>
                <w:szCs w:val="28"/>
                <w:lang w:val="en-US" w:eastAsia="zh-CN"/>
              </w:rPr>
              <w:t>收款</w:t>
            </w:r>
            <w:r>
              <w:rPr>
                <w:rFonts w:hint="eastAsia" w:ascii="仿宋" w:hAnsi="仿宋" w:eastAsia="仿宋" w:cs="宋体"/>
                <w:sz w:val="28"/>
                <w:szCs w:val="28"/>
              </w:rPr>
              <w:t>账号</w:t>
            </w:r>
          </w:p>
        </w:tc>
        <w:tc>
          <w:tcPr>
            <w:tcW w:w="8317" w:type="dxa"/>
            <w:gridSpan w:val="5"/>
            <w:noWrap w:val="0"/>
            <w:vAlign w:val="center"/>
          </w:tcPr>
          <w:p w14:paraId="7FDC796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 w:firstLine="280" w:firstLineChars="100"/>
              <w:textAlignment w:val="auto"/>
              <w:outlineLvl w:val="9"/>
              <w:rPr>
                <w:rFonts w:hint="default" w:ascii="仿宋" w:hAnsi="仿宋" w:eastAsia="仿宋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sz w:val="28"/>
                <w:szCs w:val="28"/>
              </w:rPr>
              <w:t xml:space="preserve">户 </w:t>
            </w:r>
            <w:r>
              <w:rPr>
                <w:rFonts w:hint="eastAsia" w:ascii="仿宋" w:hAnsi="仿宋" w:eastAsia="仿宋" w:cs="宋体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宋体"/>
                <w:sz w:val="28"/>
                <w:szCs w:val="28"/>
              </w:rPr>
              <w:t xml:space="preserve">名： </w:t>
            </w:r>
            <w:r>
              <w:rPr>
                <w:rFonts w:hint="eastAsia" w:ascii="仿宋" w:hAnsi="仿宋" w:eastAsia="仿宋" w:cs="宋体"/>
                <w:sz w:val="28"/>
                <w:szCs w:val="28"/>
                <w:lang w:val="en-US" w:eastAsia="zh-CN"/>
              </w:rPr>
              <w:t>北京中标永旭科技有限公司</w:t>
            </w:r>
          </w:p>
          <w:p w14:paraId="081DAB4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 w:firstLine="229" w:firstLineChars="82"/>
              <w:textAlignment w:val="auto"/>
              <w:outlineLvl w:val="9"/>
              <w:rPr>
                <w:rFonts w:hint="default" w:ascii="仿宋" w:hAnsi="仿宋" w:eastAsia="仿宋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sz w:val="28"/>
                <w:szCs w:val="28"/>
              </w:rPr>
              <w:t>开户行： 中国工商银行股份有限公司北京</w:t>
            </w:r>
            <w:r>
              <w:rPr>
                <w:rFonts w:hint="eastAsia" w:ascii="仿宋" w:hAnsi="仿宋" w:eastAsia="仿宋" w:cs="宋体"/>
                <w:sz w:val="28"/>
                <w:szCs w:val="28"/>
                <w:lang w:val="en-US" w:eastAsia="zh-CN"/>
              </w:rPr>
              <w:t>回龙观西区支行</w:t>
            </w:r>
          </w:p>
          <w:p w14:paraId="07B038F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 w:firstLine="229" w:firstLineChars="82"/>
              <w:textAlignment w:val="auto"/>
              <w:outlineLvl w:val="9"/>
              <w:rPr>
                <w:rFonts w:hint="default" w:ascii="仿宋" w:hAnsi="仿宋" w:eastAsia="仿宋" w:cs="宋体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sz w:val="28"/>
                <w:szCs w:val="28"/>
              </w:rPr>
              <w:t>账  号： 0200</w:t>
            </w:r>
            <w:r>
              <w:rPr>
                <w:rFonts w:hint="eastAsia" w:ascii="仿宋" w:hAnsi="仿宋" w:eastAsia="仿宋" w:cs="宋体"/>
                <w:sz w:val="28"/>
                <w:szCs w:val="28"/>
                <w:lang w:val="en-US" w:eastAsia="zh-CN"/>
              </w:rPr>
              <w:t xml:space="preserve">148709100213966    </w:t>
            </w:r>
          </w:p>
          <w:p w14:paraId="0B89446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 w:firstLine="230" w:firstLineChars="82"/>
              <w:textAlignment w:val="auto"/>
              <w:outlineLvl w:val="9"/>
              <w:rPr>
                <w:rFonts w:hint="default" w:ascii="仿宋" w:hAnsi="仿宋" w:eastAsia="仿宋" w:cs="宋体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FF0000"/>
                <w:sz w:val="28"/>
                <w:szCs w:val="28"/>
              </w:rPr>
              <w:t>汇款时请在备注一栏注明：</w:t>
            </w:r>
            <w:r>
              <w:rPr>
                <w:rFonts w:hint="eastAsia" w:ascii="仿宋" w:hAnsi="仿宋" w:eastAsia="仿宋" w:cs="宋体"/>
                <w:b/>
                <w:bCs/>
                <w:color w:val="FF0000"/>
                <w:sz w:val="28"/>
                <w:szCs w:val="28"/>
                <w:lang w:val="en-US" w:eastAsia="zh-CN"/>
              </w:rPr>
              <w:t>ESG培训</w:t>
            </w:r>
            <w:r>
              <w:rPr>
                <w:rFonts w:hint="eastAsia" w:ascii="仿宋" w:hAnsi="仿宋" w:eastAsia="仿宋" w:cs="宋体"/>
                <w:b/>
                <w:bCs/>
                <w:color w:val="FF0000"/>
                <w:sz w:val="28"/>
                <w:szCs w:val="28"/>
              </w:rPr>
              <w:t>+</w:t>
            </w:r>
            <w:r>
              <w:rPr>
                <w:rFonts w:hint="eastAsia" w:ascii="仿宋" w:hAnsi="仿宋" w:eastAsia="仿宋" w:cs="宋体"/>
                <w:b/>
                <w:bCs/>
                <w:color w:val="FF0000"/>
                <w:sz w:val="28"/>
                <w:szCs w:val="28"/>
                <w:lang w:val="en-US" w:eastAsia="zh-CN"/>
              </w:rPr>
              <w:t>学员</w:t>
            </w:r>
            <w:r>
              <w:rPr>
                <w:rFonts w:hint="eastAsia" w:ascii="仿宋" w:hAnsi="仿宋" w:eastAsia="仿宋" w:cs="宋体"/>
                <w:b/>
                <w:bCs/>
                <w:color w:val="FF0000"/>
                <w:sz w:val="28"/>
                <w:szCs w:val="28"/>
              </w:rPr>
              <w:t>姓名</w:t>
            </w:r>
            <w:r>
              <w:rPr>
                <w:rFonts w:hint="eastAsia" w:ascii="仿宋" w:hAnsi="仿宋" w:eastAsia="仿宋" w:cs="宋体"/>
                <w:b/>
                <w:bCs/>
                <w:color w:val="FF0000"/>
                <w:sz w:val="28"/>
                <w:szCs w:val="28"/>
                <w:lang w:val="en-US" w:eastAsia="zh-CN"/>
              </w:rPr>
              <w:t>+省循环经济协会</w:t>
            </w:r>
          </w:p>
        </w:tc>
      </w:tr>
      <w:tr w14:paraId="0CAE05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240" w:hRule="atLeast"/>
          <w:jc w:val="center"/>
        </w:trPr>
        <w:tc>
          <w:tcPr>
            <w:tcW w:w="1439" w:type="dxa"/>
            <w:noWrap w:val="0"/>
            <w:vAlign w:val="center"/>
          </w:tcPr>
          <w:p w14:paraId="050B8E94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140" w:firstLineChars="50"/>
              <w:jc w:val="center"/>
              <w:rPr>
                <w:rFonts w:hint="default" w:ascii="仿宋" w:hAnsi="仿宋" w:eastAsia="仿宋" w:cs="宋体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sz w:val="28"/>
                <w:szCs w:val="28"/>
              </w:rPr>
              <w:t>*发票信息</w:t>
            </w:r>
          </w:p>
        </w:tc>
        <w:tc>
          <w:tcPr>
            <w:tcW w:w="8317" w:type="dxa"/>
            <w:gridSpan w:val="5"/>
            <w:noWrap w:val="0"/>
            <w:vAlign w:val="center"/>
          </w:tcPr>
          <w:p w14:paraId="2C614D5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 w:firstLine="280" w:firstLineChars="100"/>
              <w:textAlignment w:val="auto"/>
              <w:outlineLvl w:val="9"/>
              <w:rPr>
                <w:rFonts w:hint="eastAsia" w:ascii="仿宋" w:hAnsi="仿宋" w:eastAsia="仿宋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sz w:val="28"/>
                <w:szCs w:val="28"/>
                <w:lang w:eastAsia="zh-CN"/>
              </w:rPr>
              <w:t>□</w:t>
            </w:r>
            <w:r>
              <w:rPr>
                <w:rFonts w:hint="eastAsia" w:ascii="仿宋" w:hAnsi="仿宋" w:eastAsia="仿宋" w:cs="宋体"/>
                <w:sz w:val="28"/>
                <w:szCs w:val="28"/>
              </w:rPr>
              <w:t xml:space="preserve">增值税普票   □增值税专票 </w:t>
            </w:r>
            <w:r>
              <w:rPr>
                <w:rFonts w:hint="eastAsia" w:ascii="仿宋" w:hAnsi="仿宋" w:eastAsia="仿宋" w:cs="宋体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宋体"/>
                <w:sz w:val="28"/>
                <w:szCs w:val="28"/>
              </w:rPr>
              <w:t>□</w:t>
            </w:r>
            <w:r>
              <w:rPr>
                <w:rFonts w:hint="eastAsia" w:ascii="仿宋" w:hAnsi="仿宋" w:eastAsia="仿宋" w:cs="宋体"/>
                <w:sz w:val="28"/>
                <w:szCs w:val="28"/>
                <w:lang w:val="en-US" w:eastAsia="zh-CN"/>
              </w:rPr>
              <w:t>无（个人发票或无需开票）</w:t>
            </w:r>
          </w:p>
          <w:p w14:paraId="16C183A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 w:firstLine="140" w:firstLineChars="50"/>
              <w:textAlignment w:val="auto"/>
              <w:outlineLvl w:val="9"/>
              <w:rPr>
                <w:rFonts w:hint="default" w:ascii="仿宋" w:hAnsi="仿宋" w:eastAsia="仿宋" w:cs="宋体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sz w:val="28"/>
                <w:szCs w:val="28"/>
              </w:rPr>
              <w:t>单位名称：</w:t>
            </w:r>
          </w:p>
          <w:p w14:paraId="0F393CB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 w:firstLine="140" w:firstLineChars="50"/>
              <w:textAlignment w:val="auto"/>
              <w:outlineLvl w:val="9"/>
              <w:rPr>
                <w:rFonts w:hint="default" w:ascii="仿宋" w:hAnsi="仿宋" w:eastAsia="仿宋" w:cs="宋体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sz w:val="28"/>
                <w:szCs w:val="28"/>
              </w:rPr>
              <w:t>税号：</w:t>
            </w:r>
          </w:p>
        </w:tc>
      </w:tr>
      <w:tr w14:paraId="5E43BB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815" w:hRule="atLeast"/>
          <w:jc w:val="center"/>
        </w:trPr>
        <w:tc>
          <w:tcPr>
            <w:tcW w:w="1439" w:type="dxa"/>
            <w:noWrap w:val="0"/>
            <w:vAlign w:val="center"/>
          </w:tcPr>
          <w:p w14:paraId="1A694340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/>
              <w:jc w:val="center"/>
              <w:rPr>
                <w:rFonts w:hint="eastAsia" w:ascii="仿宋" w:hAnsi="仿宋" w:eastAsia="仿宋" w:cs="宋体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宋体"/>
                <w:sz w:val="28"/>
                <w:szCs w:val="28"/>
              </w:rPr>
              <w:t>联系</w:t>
            </w:r>
            <w:r>
              <w:rPr>
                <w:rFonts w:hint="eastAsia" w:ascii="仿宋" w:hAnsi="仿宋" w:eastAsia="仿宋" w:cs="宋体"/>
                <w:sz w:val="28"/>
                <w:szCs w:val="28"/>
                <w:lang w:val="en-US" w:eastAsia="zh-CN"/>
              </w:rPr>
              <w:t>方式</w:t>
            </w:r>
          </w:p>
        </w:tc>
        <w:tc>
          <w:tcPr>
            <w:tcW w:w="8317" w:type="dxa"/>
            <w:gridSpan w:val="5"/>
            <w:noWrap w:val="0"/>
            <w:vAlign w:val="center"/>
          </w:tcPr>
          <w:p w14:paraId="5996D06C">
            <w:pPr>
              <w:keepNext w:val="0"/>
              <w:keepLines w:val="0"/>
              <w:suppressLineNumbers w:val="0"/>
              <w:spacing w:before="0" w:beforeAutospacing="0" w:after="0" w:afterAutospacing="0" w:line="340" w:lineRule="exact"/>
              <w:ind w:left="0" w:right="0" w:firstLine="140" w:firstLineChars="50"/>
              <w:rPr>
                <w:rFonts w:hint="eastAsia" w:ascii="仿宋" w:hAnsi="仿宋" w:eastAsia="仿宋" w:cs="宋体"/>
                <w:szCs w:val="28"/>
                <w:lang w:eastAsia="zh-CN"/>
              </w:rPr>
            </w:pPr>
            <w:r>
              <w:rPr>
                <w:rFonts w:hint="eastAsia" w:ascii="仿宋" w:hAnsi="仿宋" w:eastAsia="仿宋"/>
                <w:sz w:val="28"/>
                <w:szCs w:val="40"/>
              </w:rPr>
              <w:t xml:space="preserve">叶老师 15915837475 伍老师 13824412341  </w:t>
            </w:r>
          </w:p>
        </w:tc>
      </w:tr>
    </w:tbl>
    <w:p w14:paraId="011BA3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textAlignment w:val="auto"/>
        <w:rPr>
          <w:rFonts w:hint="eastAsia" w:ascii="楷体" w:hAnsi="楷体" w:eastAsia="楷体" w:cs="楷体"/>
          <w:b w:val="0"/>
          <w:bCs w:val="0"/>
          <w:spacing w:val="-11"/>
          <w:kern w:val="2"/>
          <w:sz w:val="28"/>
          <w:szCs w:val="28"/>
          <w:vertAlign w:val="baseline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pacing w:val="-11"/>
          <w:kern w:val="2"/>
          <w:sz w:val="28"/>
          <w:szCs w:val="28"/>
          <w:vertAlign w:val="baseline"/>
          <w:lang w:val="en-US" w:eastAsia="zh-CN"/>
        </w:rPr>
        <w:t>备注：1.请填写本表并连同缴费凭证一同发送至协会邮箱：</w:t>
      </w:r>
      <w:r>
        <w:rPr>
          <w:rFonts w:hint="eastAsia" w:ascii="楷体" w:hAnsi="楷体" w:eastAsia="楷体" w:cs="楷体"/>
          <w:b w:val="0"/>
          <w:bCs w:val="0"/>
          <w:color w:val="auto"/>
          <w:spacing w:val="-11"/>
          <w:kern w:val="2"/>
          <w:sz w:val="28"/>
          <w:szCs w:val="28"/>
          <w:u w:val="none"/>
          <w:vertAlign w:val="baseline"/>
          <w:lang w:val="en-US" w:eastAsia="zh-CN"/>
        </w:rPr>
        <w:t>gdarcu@vip.163.com。</w:t>
      </w:r>
    </w:p>
    <w:p w14:paraId="66BB46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840" w:firstLineChars="300"/>
        <w:textAlignment w:val="auto"/>
        <w:rPr>
          <w:rFonts w:hint="eastAsia" w:ascii="楷体" w:hAnsi="楷体" w:eastAsia="楷体" w:cs="楷体"/>
          <w:b w:val="0"/>
          <w:bCs w:val="0"/>
          <w:spacing w:val="-11"/>
          <w:kern w:val="2"/>
          <w:sz w:val="32"/>
          <w:szCs w:val="32"/>
          <w:vertAlign w:val="baseline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  <w:t xml:space="preserve">2. 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此次培训由北京中标永旭科技有限公司收取费用并提供培训费发票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。</w:t>
      </w:r>
    </w:p>
    <w:p w14:paraId="2F72131E">
      <w:pPr>
        <w:rPr>
          <w:rFonts w:hint="default" w:ascii="黑体" w:hAnsi="黑体" w:eastAsia="黑体" w:cs="黑体"/>
          <w:spacing w:val="-11"/>
          <w:kern w:val="2"/>
          <w:sz w:val="30"/>
          <w:szCs w:val="30"/>
          <w:vertAlign w:val="baseline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0962A75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30" w:lineRule="atLeast"/>
        <w:ind w:left="0" w:right="0" w:firstLine="0"/>
        <w:jc w:val="both"/>
        <w:textAlignment w:val="baseline"/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auto"/>
          <w:spacing w:val="0"/>
          <w:sz w:val="14"/>
          <w:szCs w:val="14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auto"/>
          <w:spacing w:val="-15"/>
          <w:sz w:val="30"/>
          <w:szCs w:val="30"/>
          <w:shd w:val="clear" w:fill="FFFFFF"/>
          <w:vertAlign w:val="baseline"/>
        </w:rPr>
        <w:t>附件2</w:t>
      </w:r>
    </w:p>
    <w:p w14:paraId="13977000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30" w:lineRule="atLeast"/>
        <w:ind w:left="0" w:right="0" w:firstLine="0"/>
        <w:jc w:val="center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16"/>
          <w:szCs w:val="16"/>
        </w:rPr>
      </w:pPr>
      <w:r>
        <w:rPr>
          <w:rStyle w:val="8"/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-15"/>
          <w:sz w:val="36"/>
          <w:szCs w:val="36"/>
          <w:shd w:val="clear" w:fill="FFFFFF"/>
          <w:vertAlign w:val="baseline"/>
        </w:rPr>
        <w:t>“企业环境、社会与治理（ESG）评价师”证书开发机构简介</w:t>
      </w:r>
    </w:p>
    <w:p w14:paraId="198901B3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30" w:lineRule="atLeast"/>
        <w:ind w:left="0" w:right="0" w:firstLine="555"/>
        <w:jc w:val="both"/>
        <w:textAlignment w:val="baseline"/>
        <w:rPr>
          <w:rFonts w:hint="default" w:ascii="Times New Roman" w:hAnsi="Times New Roman" w:eastAsia="仿宋" w:cs="Times New Roman"/>
          <w:i w:val="0"/>
          <w:iCs w:val="0"/>
          <w:caps w:val="0"/>
          <w:color w:val="auto"/>
          <w:spacing w:val="0"/>
          <w:sz w:val="14"/>
          <w:szCs w:val="14"/>
        </w:rPr>
      </w:pPr>
      <w:r>
        <w:rPr>
          <w:rFonts w:hint="default" w:ascii="Times New Roman" w:hAnsi="Times New Roman" w:eastAsia="仿宋" w:cs="Times New Roman"/>
          <w:i w:val="0"/>
          <w:iCs w:val="0"/>
          <w:caps w:val="0"/>
          <w:color w:val="auto"/>
          <w:spacing w:val="-15"/>
          <w:sz w:val="30"/>
          <w:szCs w:val="30"/>
          <w:shd w:val="clear" w:fill="FFFFFF"/>
          <w:vertAlign w:val="baseline"/>
        </w:rPr>
        <w:t>一、中国认证认可协会（CCAA）</w:t>
      </w:r>
    </w:p>
    <w:p w14:paraId="0D802F52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30" w:lineRule="atLeast"/>
        <w:ind w:left="0" w:right="0" w:firstLine="555"/>
        <w:jc w:val="both"/>
        <w:textAlignment w:val="baseline"/>
        <w:rPr>
          <w:rFonts w:hint="default" w:ascii="Times New Roman" w:hAnsi="Times New Roman" w:eastAsia="仿宋" w:cs="Times New Roman"/>
          <w:i w:val="0"/>
          <w:iCs w:val="0"/>
          <w:caps w:val="0"/>
          <w:color w:val="auto"/>
          <w:spacing w:val="0"/>
          <w:sz w:val="14"/>
          <w:szCs w:val="14"/>
        </w:rPr>
      </w:pPr>
      <w:r>
        <w:rPr>
          <w:rFonts w:hint="default" w:ascii="Times New Roman" w:hAnsi="Times New Roman" w:eastAsia="仿宋" w:cs="Times New Roman"/>
          <w:i w:val="0"/>
          <w:iCs w:val="0"/>
          <w:caps w:val="0"/>
          <w:color w:val="auto"/>
          <w:spacing w:val="-15"/>
          <w:sz w:val="30"/>
          <w:szCs w:val="30"/>
          <w:shd w:val="clear" w:fill="FFFFFF"/>
          <w:vertAlign w:val="baseline"/>
        </w:rPr>
        <w:t>CCAA作为民政部评价的5A级全国性行业协会，也是国际人员认证协会的全权成员。自2005年成立以来，CCAA按照国际通行的ISO/IEC 17024《合格评定人员认证机构通用要求》，致力于专业的认证人员能力建设，并根据国家市场监督管理总局要求，负责认证人员国家注册制度、考试制度的实施，在长期的发展历程中积累了丰富的人员评价经验，具备完善的人员评价制度与配套的管理信息系统。 </w:t>
      </w:r>
    </w:p>
    <w:p w14:paraId="6EB94E55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30" w:lineRule="atLeast"/>
        <w:ind w:left="0" w:right="0" w:firstLine="555"/>
        <w:jc w:val="both"/>
        <w:textAlignment w:val="baseline"/>
        <w:rPr>
          <w:rFonts w:hint="default" w:ascii="Times New Roman" w:hAnsi="Times New Roman" w:eastAsia="仿宋" w:cs="Times New Roman"/>
          <w:i w:val="0"/>
          <w:iCs w:val="0"/>
          <w:caps w:val="0"/>
          <w:color w:val="auto"/>
          <w:spacing w:val="0"/>
          <w:sz w:val="14"/>
          <w:szCs w:val="14"/>
        </w:rPr>
      </w:pPr>
      <w:r>
        <w:rPr>
          <w:rFonts w:hint="default" w:ascii="Times New Roman" w:hAnsi="Times New Roman" w:eastAsia="仿宋" w:cs="Times New Roman"/>
          <w:i w:val="0"/>
          <w:iCs w:val="0"/>
          <w:caps w:val="0"/>
          <w:color w:val="auto"/>
          <w:spacing w:val="-15"/>
          <w:sz w:val="30"/>
          <w:szCs w:val="30"/>
          <w:shd w:val="clear" w:fill="FFFFFF"/>
          <w:vertAlign w:val="baseline"/>
        </w:rPr>
        <w:t>二、中央财经大学可持续准则研究中心（SSRC）</w:t>
      </w:r>
    </w:p>
    <w:p w14:paraId="3639236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30" w:lineRule="atLeast"/>
        <w:ind w:left="0" w:right="0" w:firstLine="555"/>
        <w:jc w:val="both"/>
        <w:textAlignment w:val="baseline"/>
        <w:rPr>
          <w:rFonts w:hint="default" w:ascii="Times New Roman" w:hAnsi="Times New Roman" w:eastAsia="仿宋" w:cs="Times New Roman"/>
          <w:i w:val="0"/>
          <w:iCs w:val="0"/>
          <w:caps w:val="0"/>
          <w:color w:val="auto"/>
          <w:spacing w:val="0"/>
          <w:sz w:val="14"/>
          <w:szCs w:val="14"/>
        </w:rPr>
      </w:pPr>
      <w:r>
        <w:rPr>
          <w:rFonts w:hint="default" w:ascii="Times New Roman" w:hAnsi="Times New Roman" w:eastAsia="仿宋" w:cs="Times New Roman"/>
          <w:i w:val="0"/>
          <w:iCs w:val="0"/>
          <w:caps w:val="0"/>
          <w:color w:val="auto"/>
          <w:spacing w:val="-15"/>
          <w:sz w:val="30"/>
          <w:szCs w:val="30"/>
          <w:shd w:val="clear" w:fill="FFFFFF"/>
          <w:vertAlign w:val="baseline"/>
        </w:rPr>
        <w:t>中央财经大学是教育部、财政部和北京市人民政府共建的教育部直属高校，是国家“双一流”建设、“211工程”建设和首批“985优势学科创新平台”项目建设高校。SSRC作为中央财经大学经济学院成立的跨学科前沿学术研究机构，专注于ESG领域相关研究，中心刘轶芳教授研究团队自2016年起，服务于中国绿色金融顶层设计《关于构建绿色金融体系的指导意见》的制定；2023 年起，SSRC 同步开展国际可持续准则理事会（ISSB）《国际财务报告可持续披露准则》（IFRS S1/S2）的研究、评估与对标工作。</w:t>
      </w:r>
    </w:p>
    <w:p w14:paraId="169819B0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30" w:lineRule="atLeast"/>
        <w:ind w:left="0" w:right="0" w:firstLine="555"/>
        <w:jc w:val="both"/>
        <w:textAlignment w:val="baseline"/>
        <w:rPr>
          <w:rFonts w:hint="default" w:ascii="Times New Roman" w:hAnsi="Times New Roman" w:eastAsia="仿宋" w:cs="Times New Roman"/>
          <w:i w:val="0"/>
          <w:iCs w:val="0"/>
          <w:caps w:val="0"/>
          <w:color w:val="auto"/>
          <w:spacing w:val="0"/>
          <w:sz w:val="14"/>
          <w:szCs w:val="14"/>
        </w:rPr>
      </w:pPr>
      <w:r>
        <w:rPr>
          <w:rFonts w:hint="default" w:ascii="Times New Roman" w:hAnsi="Times New Roman" w:eastAsia="仿宋" w:cs="Times New Roman"/>
          <w:i w:val="0"/>
          <w:iCs w:val="0"/>
          <w:caps w:val="0"/>
          <w:color w:val="auto"/>
          <w:spacing w:val="-15"/>
          <w:sz w:val="30"/>
          <w:szCs w:val="30"/>
          <w:shd w:val="clear" w:fill="FFFFFF"/>
          <w:vertAlign w:val="baseline"/>
        </w:rPr>
        <w:t>2024年9月刘轶芳教授入选财政部首届可持续披露准则咨询专家名单。SSRC中心团队成员兼任国家标准化管理委员会ESG标准化项目研究组成员、ISO ESG研究组成员以及可持续金融技术委员会成员、人社部绿色职业外部专家，并参与制定《碳排放管理员国家职业标准》等文件。</w:t>
      </w:r>
    </w:p>
    <w:p w14:paraId="7E616F6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30" w:lineRule="atLeast"/>
        <w:ind w:left="0" w:right="0" w:firstLine="555"/>
        <w:jc w:val="both"/>
        <w:textAlignment w:val="baseline"/>
        <w:rPr>
          <w:rFonts w:hint="default" w:ascii="Times New Roman" w:hAnsi="Times New Roman" w:eastAsia="仿宋" w:cs="Times New Roman"/>
          <w:i w:val="0"/>
          <w:iCs w:val="0"/>
          <w:caps w:val="0"/>
          <w:color w:val="auto"/>
          <w:spacing w:val="0"/>
          <w:sz w:val="14"/>
          <w:szCs w:val="14"/>
        </w:rPr>
      </w:pPr>
      <w:r>
        <w:rPr>
          <w:rFonts w:hint="default" w:ascii="Times New Roman" w:hAnsi="Times New Roman" w:eastAsia="仿宋" w:cs="Times New Roman"/>
          <w:i w:val="0"/>
          <w:iCs w:val="0"/>
          <w:caps w:val="0"/>
          <w:color w:val="auto"/>
          <w:spacing w:val="-15"/>
          <w:sz w:val="30"/>
          <w:szCs w:val="30"/>
          <w:shd w:val="clear" w:fill="FFFFFF"/>
          <w:vertAlign w:val="baseline"/>
        </w:rPr>
        <w:t>三、香港品质保证局</w:t>
      </w:r>
    </w:p>
    <w:p w14:paraId="7FAB671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30" w:lineRule="atLeast"/>
        <w:ind w:left="0" w:right="0" w:firstLine="555"/>
        <w:jc w:val="both"/>
        <w:textAlignment w:val="baseline"/>
        <w:rPr>
          <w:rFonts w:hint="default" w:ascii="Times New Roman" w:hAnsi="Times New Roman" w:eastAsia="仿宋" w:cs="Times New Roman"/>
          <w:i w:val="0"/>
          <w:iCs w:val="0"/>
          <w:caps w:val="0"/>
          <w:color w:val="auto"/>
          <w:spacing w:val="0"/>
          <w:sz w:val="14"/>
          <w:szCs w:val="14"/>
        </w:rPr>
      </w:pPr>
      <w:r>
        <w:rPr>
          <w:rFonts w:hint="default" w:ascii="Times New Roman" w:hAnsi="Times New Roman" w:eastAsia="仿宋" w:cs="Times New Roman"/>
          <w:i w:val="0"/>
          <w:iCs w:val="0"/>
          <w:caps w:val="0"/>
          <w:color w:val="auto"/>
          <w:spacing w:val="-15"/>
          <w:sz w:val="30"/>
          <w:szCs w:val="30"/>
          <w:shd w:val="clear" w:fill="FFFFFF"/>
          <w:vertAlign w:val="baseline"/>
        </w:rPr>
        <w:t>香港品质保证局（HKQAA）是香港特区政府于1989年成立的非牟利公营机构；多年来积极参与制定国际、国家及行业标准，致力推广优质管理办法，促进商界及社会的可持续发展；因应社会发展需求，围绕不同重要议题研发创新评审、披露、培训工具和服务；内地全资拥有公司「港品局合格评定（深圳）有限公司）」，在香港、澳门、广州、上海、深圳、西安皆设有办公室。</w:t>
      </w:r>
    </w:p>
    <w:p w14:paraId="02554CE9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30" w:lineRule="atLeast"/>
        <w:ind w:left="0" w:right="0" w:firstLine="555"/>
        <w:jc w:val="both"/>
        <w:textAlignment w:val="baseline"/>
        <w:rPr>
          <w:rFonts w:hint="default" w:ascii="Times New Roman" w:hAnsi="Times New Roman" w:eastAsia="仿宋" w:cs="Times New Roman"/>
          <w:i w:val="0"/>
          <w:iCs w:val="0"/>
          <w:caps w:val="0"/>
          <w:color w:val="auto"/>
          <w:spacing w:val="0"/>
          <w:sz w:val="14"/>
          <w:szCs w:val="14"/>
        </w:rPr>
      </w:pPr>
      <w:r>
        <w:rPr>
          <w:rFonts w:hint="default" w:ascii="Times New Roman" w:hAnsi="Times New Roman" w:eastAsia="仿宋" w:cs="Times New Roman"/>
          <w:i w:val="0"/>
          <w:iCs w:val="0"/>
          <w:caps w:val="0"/>
          <w:color w:val="auto"/>
          <w:spacing w:val="-15"/>
          <w:sz w:val="30"/>
          <w:szCs w:val="30"/>
          <w:shd w:val="clear" w:fill="FFFFFF"/>
          <w:vertAlign w:val="baseline"/>
        </w:rPr>
        <w:t>自2014年起，香港品质保证局推出「可持续发展评级与研究」平台，为「恒生可持续发展企业指数系列」对约1800家港股及A股上市公司的可持续发展表现进行评级，并发布年度整体评级研究报告。该评级结果在香港交易所平台上，与MSCI（明晟）和标普（S&amp;P）的评级结果一同展示。</w:t>
      </w:r>
    </w:p>
    <w:p w14:paraId="66B24F9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3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14"/>
          <w:szCs w:val="1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14"/>
          <w:szCs w:val="14"/>
          <w:shd w:val="clear" w:fill="FFFFFF"/>
        </w:rPr>
        <w:drawing>
          <wp:inline distT="0" distB="0" distL="114300" distR="114300">
            <wp:extent cx="3338195" cy="4732655"/>
            <wp:effectExtent l="0" t="0" r="14605" b="10795"/>
            <wp:docPr id="2" name="图片 2" descr="wps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wps15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38195" cy="4732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A984F7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30" w:lineRule="atLeast"/>
        <w:ind w:left="0" w:right="0" w:firstLine="0"/>
        <w:jc w:val="center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14"/>
          <w:szCs w:val="1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30"/>
          <w:szCs w:val="30"/>
          <w:shd w:val="clear" w:fill="FFFFFF"/>
          <w:vertAlign w:val="baseline"/>
        </w:rPr>
        <w:t>（证书示例）</w:t>
      </w:r>
    </w:p>
    <w:p w14:paraId="09DEAC35">
      <w:pPr>
        <w:rPr>
          <w:rFonts w:hint="default" w:ascii="黑体" w:hAnsi="黑体" w:eastAsia="黑体" w:cs="黑体"/>
          <w:color w:val="auto"/>
          <w:spacing w:val="-11"/>
          <w:kern w:val="2"/>
          <w:sz w:val="30"/>
          <w:szCs w:val="30"/>
          <w:vertAlign w:val="baseline"/>
          <w:lang w:val="en-US" w:eastAsia="zh-CN"/>
        </w:rPr>
      </w:pPr>
    </w:p>
    <w:p w14:paraId="3AB782D0">
      <w:pPr>
        <w:rPr>
          <w:rFonts w:hint="default" w:ascii="黑体" w:hAnsi="黑体" w:eastAsia="黑体" w:cs="黑体"/>
          <w:color w:val="auto"/>
          <w:spacing w:val="-11"/>
          <w:kern w:val="2"/>
          <w:sz w:val="30"/>
          <w:szCs w:val="30"/>
          <w:vertAlign w:val="baseline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59AB129B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30" w:lineRule="atLeast"/>
        <w:ind w:left="0" w:right="0" w:firstLine="0"/>
        <w:jc w:val="both"/>
        <w:textAlignment w:val="baseline"/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auto"/>
          <w:spacing w:val="0"/>
          <w:sz w:val="14"/>
          <w:szCs w:val="14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auto"/>
          <w:spacing w:val="-15"/>
          <w:sz w:val="30"/>
          <w:szCs w:val="30"/>
          <w:shd w:val="clear" w:fill="FFFFFF"/>
          <w:vertAlign w:val="baseline"/>
        </w:rPr>
        <w:t>附件3</w:t>
      </w:r>
    </w:p>
    <w:p w14:paraId="5B41443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30" w:lineRule="atLeast"/>
        <w:ind w:left="0" w:right="0" w:firstLine="0"/>
        <w:jc w:val="center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18"/>
          <w:szCs w:val="18"/>
        </w:rPr>
      </w:pPr>
      <w:r>
        <w:rPr>
          <w:rStyle w:val="8"/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-15"/>
          <w:sz w:val="40"/>
          <w:szCs w:val="40"/>
          <w:shd w:val="clear" w:fill="FFFFFF"/>
          <w:vertAlign w:val="baseline"/>
        </w:rPr>
        <w:t>项目实施案例</w:t>
      </w:r>
    </w:p>
    <w:p w14:paraId="1EAC34D6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30" w:lineRule="atLeast"/>
        <w:ind w:left="0" w:right="0" w:firstLine="600"/>
        <w:jc w:val="both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14"/>
          <w:szCs w:val="1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30"/>
          <w:szCs w:val="30"/>
          <w:shd w:val="clear" w:fill="FFFFFF"/>
          <w:vertAlign w:val="baseline"/>
        </w:rPr>
        <w:t>一、长三角-苏州全国首批试点</w:t>
      </w:r>
    </w:p>
    <w:p w14:paraId="52A0B847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30" w:lineRule="atLeast"/>
        <w:ind w:left="0" w:right="0" w:firstLine="600"/>
        <w:jc w:val="both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14"/>
          <w:szCs w:val="1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30"/>
          <w:szCs w:val="30"/>
          <w:shd w:val="clear" w:fill="FFFFFF"/>
          <w:vertAlign w:val="baseline"/>
        </w:rPr>
        <w:t>2024年11月20日至21日</w:t>
      </w:r>
    </w:p>
    <w:p w14:paraId="2A4449D5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30" w:lineRule="atLeast"/>
        <w:ind w:left="0" w:right="0" w:firstLine="0"/>
        <w:jc w:val="center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14"/>
          <w:szCs w:val="1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14"/>
          <w:szCs w:val="14"/>
          <w:shd w:val="clear" w:fill="FFFFFF"/>
          <w:vertAlign w:val="baseline"/>
        </w:rPr>
        <w:drawing>
          <wp:inline distT="0" distB="0" distL="114300" distR="114300">
            <wp:extent cx="5257800" cy="3047365"/>
            <wp:effectExtent l="0" t="0" r="0" b="635"/>
            <wp:docPr id="5" name="图片 3" descr="wps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wps16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047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6E39E40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30" w:lineRule="atLeast"/>
        <w:ind w:left="0" w:right="0" w:firstLine="600"/>
        <w:jc w:val="both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14"/>
          <w:szCs w:val="1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30"/>
          <w:szCs w:val="30"/>
          <w:shd w:val="clear" w:fill="FFFFFF"/>
          <w:vertAlign w:val="baseline"/>
        </w:rPr>
        <w:t>二、北京市可持续领域高端会计人才培训班</w:t>
      </w:r>
    </w:p>
    <w:p w14:paraId="04514767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30" w:lineRule="atLeast"/>
        <w:ind w:left="0" w:right="0" w:firstLine="600"/>
        <w:jc w:val="both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14"/>
          <w:szCs w:val="1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30"/>
          <w:szCs w:val="30"/>
          <w:shd w:val="clear" w:fill="FFFFFF"/>
          <w:vertAlign w:val="baseline"/>
        </w:rPr>
        <w:t>2025年3月21日至30日</w:t>
      </w:r>
    </w:p>
    <w:p w14:paraId="6FE09D76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30" w:lineRule="atLeast"/>
        <w:ind w:left="0" w:right="0" w:firstLine="0"/>
        <w:jc w:val="center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14"/>
          <w:szCs w:val="1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14"/>
          <w:szCs w:val="14"/>
          <w:shd w:val="clear" w:fill="FFFFFF"/>
          <w:vertAlign w:val="baseline"/>
        </w:rPr>
        <w:drawing>
          <wp:inline distT="0" distB="0" distL="114300" distR="114300">
            <wp:extent cx="5382895" cy="2924175"/>
            <wp:effectExtent l="0" t="0" r="8255" b="9525"/>
            <wp:docPr id="7" name="图片 4" descr="wps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wps17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8289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C0C51E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30" w:lineRule="atLeast"/>
        <w:ind w:left="0" w:right="0" w:firstLine="0"/>
        <w:jc w:val="center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14"/>
          <w:szCs w:val="1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14"/>
          <w:szCs w:val="14"/>
          <w:shd w:val="clear" w:fill="FFFFFF"/>
          <w:vertAlign w:val="baseline"/>
        </w:rPr>
        <w:drawing>
          <wp:inline distT="0" distB="0" distL="114300" distR="114300">
            <wp:extent cx="5118100" cy="3267075"/>
            <wp:effectExtent l="0" t="0" r="6350" b="9525"/>
            <wp:docPr id="8" name="图片 5" descr="wps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wps18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1810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73A717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30" w:lineRule="atLeast"/>
        <w:ind w:left="0" w:right="0" w:firstLine="600"/>
        <w:jc w:val="both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14"/>
          <w:szCs w:val="1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30"/>
          <w:szCs w:val="30"/>
          <w:shd w:val="clear" w:fill="FFFFFF"/>
          <w:vertAlign w:val="baseline"/>
        </w:rPr>
        <w:t>三、大湾区-广州首期</w:t>
      </w:r>
    </w:p>
    <w:p w14:paraId="7E009E7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30" w:lineRule="atLeast"/>
        <w:ind w:left="0" w:right="0" w:firstLine="600"/>
        <w:jc w:val="both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14"/>
          <w:szCs w:val="1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30"/>
          <w:szCs w:val="30"/>
          <w:shd w:val="clear" w:fill="FFFFFF"/>
          <w:vertAlign w:val="baseline"/>
        </w:rPr>
        <w:t>2025年3月26日至27日</w:t>
      </w:r>
    </w:p>
    <w:p w14:paraId="7925BD83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30" w:lineRule="atLeast"/>
        <w:ind w:left="0" w:right="0" w:firstLine="0"/>
        <w:jc w:val="center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14"/>
          <w:szCs w:val="1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14"/>
          <w:szCs w:val="14"/>
          <w:shd w:val="clear" w:fill="FFFFFF"/>
          <w:vertAlign w:val="baseline"/>
        </w:rPr>
        <w:drawing>
          <wp:inline distT="0" distB="0" distL="114300" distR="114300">
            <wp:extent cx="5271770" cy="3620770"/>
            <wp:effectExtent l="0" t="0" r="5080" b="17780"/>
            <wp:docPr id="6" name="图片 6" descr="wps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wps19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20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73AD35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30" w:lineRule="atLeast"/>
        <w:ind w:left="0" w:right="0" w:firstLine="600"/>
        <w:jc w:val="both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14"/>
          <w:szCs w:val="1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30"/>
          <w:szCs w:val="30"/>
          <w:shd w:val="clear" w:fill="FFFFFF"/>
          <w:vertAlign w:val="baseline"/>
        </w:rPr>
        <w:t>四、长三角-苏州第二期</w:t>
      </w:r>
    </w:p>
    <w:p w14:paraId="11B80691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30" w:lineRule="atLeast"/>
        <w:ind w:left="0" w:right="0" w:firstLine="600"/>
        <w:jc w:val="both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14"/>
          <w:szCs w:val="14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30"/>
          <w:szCs w:val="30"/>
          <w:shd w:val="clear" w:fill="FFFFFF"/>
          <w:vertAlign w:val="baseline"/>
        </w:rPr>
        <w:t>2025年5月17日至18日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30"/>
          <w:szCs w:val="30"/>
          <w:shd w:val="clear" w:fill="FFFFFF"/>
          <w:vertAlign w:val="baseline"/>
          <w:lang w:eastAsia="zh-CN"/>
        </w:rPr>
        <w:t>。</w:t>
      </w:r>
    </w:p>
    <w:p w14:paraId="2634C89B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30" w:lineRule="atLeast"/>
        <w:ind w:left="0" w:right="0" w:firstLine="0"/>
        <w:jc w:val="center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14"/>
          <w:szCs w:val="1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14"/>
          <w:szCs w:val="14"/>
          <w:shd w:val="clear" w:fill="FFFFFF"/>
          <w:vertAlign w:val="baseline"/>
        </w:rPr>
        <w:drawing>
          <wp:inline distT="0" distB="0" distL="114300" distR="114300">
            <wp:extent cx="5312410" cy="3074670"/>
            <wp:effectExtent l="0" t="0" r="2540" b="11430"/>
            <wp:docPr id="4" name="图片 7" descr="wps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wps20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12410" cy="3074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0765282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30" w:lineRule="atLeast"/>
        <w:ind w:left="0" w:right="0" w:firstLine="600"/>
        <w:jc w:val="both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14"/>
          <w:szCs w:val="1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30"/>
          <w:szCs w:val="30"/>
          <w:shd w:val="clear" w:fill="FFFFFF"/>
          <w:vertAlign w:val="baseline"/>
        </w:rPr>
        <w:t>五、大湾区-首期“一训双证”试点班</w:t>
      </w:r>
    </w:p>
    <w:p w14:paraId="3CCEF506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30" w:lineRule="atLeast"/>
        <w:ind w:left="0" w:right="0" w:firstLine="600"/>
        <w:jc w:val="both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14"/>
          <w:szCs w:val="1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30"/>
          <w:szCs w:val="30"/>
          <w:shd w:val="clear" w:fill="FFFFFF"/>
          <w:vertAlign w:val="baseline"/>
        </w:rPr>
        <w:t>2025年6月28日至29日</w:t>
      </w:r>
    </w:p>
    <w:p w14:paraId="22B0D54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3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14"/>
          <w:szCs w:val="1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14"/>
          <w:szCs w:val="14"/>
          <w:shd w:val="clear" w:fill="FFFFFF"/>
        </w:rPr>
        <w:drawing>
          <wp:inline distT="0" distB="0" distL="114300" distR="114300">
            <wp:extent cx="5435600" cy="3110865"/>
            <wp:effectExtent l="0" t="0" r="12700" b="13335"/>
            <wp:docPr id="3" name="图片 8" descr="wps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 descr="wps21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3110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B86A1A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30" w:lineRule="atLeast"/>
        <w:ind w:left="0" w:right="0" w:firstLine="600"/>
        <w:jc w:val="both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30"/>
          <w:szCs w:val="30"/>
          <w:shd w:val="clear" w:fill="FFFFFF"/>
          <w:vertAlign w:val="baseline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30"/>
          <w:szCs w:val="30"/>
          <w:shd w:val="clear" w:fill="FFFFFF"/>
          <w:vertAlign w:val="baseline"/>
          <w:lang w:val="en-US" w:eastAsia="zh-CN"/>
        </w:rPr>
        <w:t>六、大湾区-第二期“一训双证”</w:t>
      </w:r>
    </w:p>
    <w:p w14:paraId="3CBDFD2D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30" w:lineRule="atLeast"/>
        <w:ind w:left="0" w:right="0" w:firstLine="600"/>
        <w:jc w:val="both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30"/>
          <w:szCs w:val="30"/>
          <w:shd w:val="clear" w:fill="FFFFFF"/>
          <w:vertAlign w:val="baseline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30"/>
          <w:szCs w:val="30"/>
          <w:shd w:val="clear" w:fill="FFFFFF"/>
          <w:vertAlign w:val="baseline"/>
          <w:lang w:val="en-US" w:eastAsia="zh-CN"/>
        </w:rPr>
        <w:t>2025年9月20日至21日</w:t>
      </w:r>
    </w:p>
    <w:p w14:paraId="4ED850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黑体" w:hAnsi="黑体" w:eastAsia="黑体" w:cs="黑体"/>
          <w:color w:val="auto"/>
          <w:spacing w:val="-11"/>
          <w:kern w:val="2"/>
          <w:sz w:val="30"/>
          <w:szCs w:val="30"/>
          <w:vertAlign w:val="baseline"/>
          <w:lang w:val="en-US" w:eastAsia="zh-CN"/>
        </w:rPr>
      </w:pPr>
      <w:r>
        <w:rPr>
          <w:rFonts w:hint="default" w:ascii="黑体" w:hAnsi="黑体" w:eastAsia="黑体" w:cs="黑体"/>
          <w:color w:val="auto"/>
          <w:spacing w:val="-11"/>
          <w:kern w:val="2"/>
          <w:sz w:val="30"/>
          <w:szCs w:val="30"/>
          <w:vertAlign w:val="baseline"/>
          <w:lang w:val="en-US" w:eastAsia="zh-CN"/>
        </w:rPr>
        <w:drawing>
          <wp:inline distT="0" distB="0" distL="114300" distR="114300">
            <wp:extent cx="5266690" cy="3005455"/>
            <wp:effectExtent l="0" t="0" r="10160" b="4445"/>
            <wp:docPr id="9" name="图片 9" descr="83f78fdd755435340d0f9a74cfc988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3f78fdd755435340d0f9a74cfc988d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499F0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30" w:lineRule="atLeast"/>
        <w:ind w:left="0" w:right="0" w:firstLine="600"/>
        <w:jc w:val="both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30"/>
          <w:szCs w:val="30"/>
          <w:shd w:val="clear" w:fill="FFFFFF"/>
          <w:vertAlign w:val="baseline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30"/>
          <w:szCs w:val="30"/>
          <w:shd w:val="clear" w:fill="FFFFFF"/>
          <w:vertAlign w:val="baseline"/>
          <w:lang w:val="en-US" w:eastAsia="zh-CN"/>
        </w:rPr>
        <w:t>七、京津冀-首期“一训双证”试点</w:t>
      </w:r>
    </w:p>
    <w:p w14:paraId="7DE8561B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30" w:lineRule="atLeast"/>
        <w:ind w:left="0" w:right="0" w:firstLine="600"/>
        <w:jc w:val="both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30"/>
          <w:szCs w:val="30"/>
          <w:shd w:val="clear" w:fill="FFFFFF"/>
          <w:vertAlign w:val="baseline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30"/>
          <w:szCs w:val="30"/>
          <w:shd w:val="clear" w:fill="FFFFFF"/>
          <w:vertAlign w:val="baseline"/>
          <w:lang w:val="en-US" w:eastAsia="zh-CN"/>
        </w:rPr>
        <w:t>2025年10月25日至26日</w:t>
      </w:r>
    </w:p>
    <w:p w14:paraId="4442E9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黑体" w:hAnsi="黑体" w:eastAsia="黑体" w:cs="黑体"/>
          <w:color w:val="auto"/>
          <w:spacing w:val="-11"/>
          <w:kern w:val="2"/>
          <w:sz w:val="30"/>
          <w:szCs w:val="30"/>
          <w:vertAlign w:val="baseline"/>
          <w:lang w:val="en-US" w:eastAsia="zh-CN"/>
        </w:rPr>
      </w:pPr>
      <w:r>
        <w:rPr>
          <w:rFonts w:hint="default" w:ascii="黑体" w:hAnsi="黑体" w:eastAsia="黑体" w:cs="黑体"/>
          <w:color w:val="auto"/>
          <w:spacing w:val="-11"/>
          <w:kern w:val="2"/>
          <w:sz w:val="30"/>
          <w:szCs w:val="30"/>
          <w:vertAlign w:val="baseline"/>
          <w:lang w:val="en-US" w:eastAsia="zh-CN"/>
        </w:rPr>
        <w:drawing>
          <wp:inline distT="0" distB="0" distL="114300" distR="114300">
            <wp:extent cx="5266690" cy="3509645"/>
            <wp:effectExtent l="0" t="0" r="10160" b="14605"/>
            <wp:docPr id="12" name="图片 12" descr="4e6c2e70509a0d178918ab0e44c96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e6c2e70509a0d178918ab0e44c9634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6B2ACC"/>
    <w:rsid w:val="13247BEA"/>
    <w:rsid w:val="285D5A03"/>
    <w:rsid w:val="29316B47"/>
    <w:rsid w:val="36FF3742"/>
    <w:rsid w:val="46375641"/>
    <w:rsid w:val="4E686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5565</Words>
  <Characters>6309</Characters>
  <Lines>0</Lines>
  <Paragraphs>0</Paragraphs>
  <TotalTime>19</TotalTime>
  <ScaleCrop>false</ScaleCrop>
  <LinksUpToDate>false</LinksUpToDate>
  <CharactersWithSpaces>6403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w¿ÑcHester</cp:lastModifiedBy>
  <dcterms:modified xsi:type="dcterms:W3CDTF">2026-03-23T09:11:51Z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eyJoZGlkIjoiMGMxYWI3ZmExNzBiZjU3NTQwMjUxNzBmNzg4NWFlM2UiLCJ1c2VySWQiOiIyODA2NTgwOTUifQ==</vt:lpwstr>
  </property>
  <property fmtid="{D5CDD505-2E9C-101B-9397-08002B2CF9AE}" pid="4" name="ICV">
    <vt:lpwstr>634917797C214C45A1CD6A7C4B0089AA_13</vt:lpwstr>
  </property>
</Properties>
</file>